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tabs>
          <w:tab w:val="right" w:pos="10440"/>
        </w:tabs>
        <w:kinsoku/>
        <w:wordWrap/>
        <w:topLinePunct w:val="0"/>
        <w:bidi w:val="0"/>
        <w:snapToGrid/>
        <w:spacing w:after="0"/>
        <w:jc w:val="both"/>
        <w:rPr>
          <w:b/>
          <w:i/>
          <w:sz w:val="28"/>
          <w:lang w:eastAsia="zh-CN"/>
        </w:rPr>
      </w:pPr>
      <w:r>
        <w:rPr>
          <w:rFonts w:cs="Arial"/>
          <w:b/>
          <w:sz w:val="24"/>
          <w:szCs w:val="24"/>
        </w:rPr>
        <w:t>3GPP TSG-RAN WG4 Meeting # 107</w:t>
      </w:r>
      <w:r>
        <w:rPr>
          <w:rFonts w:hint="eastAsia" w:eastAsia="宋体" w:cs="Arial"/>
          <w:b/>
          <w:sz w:val="24"/>
          <w:szCs w:val="24"/>
          <w:lang w:val="en-US" w:eastAsia="zh-CN"/>
        </w:rPr>
        <w:t xml:space="preserve">                                   </w:t>
      </w:r>
      <w:bookmarkStart w:id="36" w:name="_GoBack"/>
      <w:bookmarkEnd w:id="36"/>
      <w:r>
        <w:rPr>
          <w:rFonts w:hint="default" w:ascii="Arial" w:hAnsi="Arial" w:cs="Arial"/>
          <w:b/>
          <w:sz w:val="24"/>
          <w:szCs w:val="24"/>
          <w:lang w:val="en-US" w:eastAsia="zh-CN"/>
        </w:rPr>
        <w:t>R4-23</w:t>
      </w:r>
      <w:r>
        <w:rPr>
          <w:rFonts w:hint="eastAsia" w:ascii="Arial" w:hAnsi="Arial" w:cs="Arial"/>
          <w:b/>
          <w:sz w:val="24"/>
          <w:szCs w:val="24"/>
          <w:lang w:val="en-US" w:eastAsia="zh-CN"/>
        </w:rPr>
        <w:t>0817</w:t>
      </w:r>
      <w:r>
        <w:rPr>
          <w:rFonts w:hint="eastAsia" w:cs="Arial"/>
          <w:b/>
          <w:sz w:val="24"/>
          <w:szCs w:val="24"/>
          <w:lang w:val="en-US" w:eastAsia="zh-CN"/>
        </w:rPr>
        <w:t>2</w:t>
      </w:r>
    </w:p>
    <w:p>
      <w:pPr>
        <w:pStyle w:val="73"/>
        <w:keepNext/>
        <w:keepLines/>
        <w:pageBreakBefore w:val="0"/>
        <w:widowControl/>
        <w:kinsoku/>
        <w:wordWrap/>
        <w:topLinePunct w:val="0"/>
        <w:bidi w:val="0"/>
        <w:snapToGrid/>
        <w:spacing w:after="0"/>
        <w:outlineLvl w:val="0"/>
        <w:rPr>
          <w:b/>
          <w:sz w:val="24"/>
        </w:rPr>
      </w:pPr>
      <w:r>
        <w:rPr>
          <w:b/>
          <w:sz w:val="24"/>
          <w:szCs w:val="24"/>
          <w:lang w:eastAsia="zh-CN"/>
        </w:rPr>
        <w:t>Incheon, Korea, 22</w:t>
      </w:r>
      <w:r>
        <w:rPr>
          <w:b/>
          <w:sz w:val="24"/>
          <w:szCs w:val="24"/>
          <w:vertAlign w:val="superscript"/>
          <w:lang w:eastAsia="zh-CN"/>
        </w:rPr>
        <w:t xml:space="preserve">th </w:t>
      </w:r>
      <w:r>
        <w:rPr>
          <w:b/>
          <w:sz w:val="24"/>
          <w:szCs w:val="24"/>
          <w:lang w:eastAsia="zh-CN"/>
        </w:rPr>
        <w:t>- 26</w:t>
      </w:r>
      <w:r>
        <w:rPr>
          <w:b/>
          <w:sz w:val="24"/>
          <w:szCs w:val="24"/>
          <w:vertAlign w:val="superscript"/>
          <w:lang w:eastAsia="zh-CN"/>
        </w:rPr>
        <w:t>th</w:t>
      </w:r>
      <w:r>
        <w:rPr>
          <w:b/>
          <w:sz w:val="24"/>
          <w:szCs w:val="24"/>
          <w:lang w:eastAsia="zh-CN"/>
        </w:rPr>
        <w:t>, May, 2023</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en-US" w:eastAsia="zh-CN"/>
        </w:rPr>
        <w:t xml:space="preserve">Source: </w:t>
      </w:r>
      <w:r>
        <w:rPr>
          <w:rStyle w:val="60"/>
          <w:rFonts w:hint="eastAsia"/>
          <w:b/>
          <w:color w:val="auto"/>
          <w:highlight w:val="none"/>
          <w:lang w:val="en-US" w:eastAsia="zh-CN"/>
        </w:rPr>
        <w:tab/>
      </w:r>
      <w:r>
        <w:rPr>
          <w:rStyle w:val="60"/>
          <w:rFonts w:hint="eastAsia"/>
          <w:b/>
          <w:color w:val="auto"/>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Fonts w:ascii="Arial" w:hAnsi="Arial"/>
          <w:b/>
          <w:color w:val="auto"/>
          <w:sz w:val="24"/>
          <w:highlight w:val="none"/>
          <w:lang w:val="pt-BR"/>
        </w:rPr>
        <w:t xml:space="preserve">Title: </w:t>
      </w:r>
      <w:r>
        <w:rPr>
          <w:rFonts w:ascii="Arial" w:hAnsi="Arial"/>
          <w:b/>
          <w:color w:val="auto"/>
          <w:sz w:val="24"/>
          <w:highlight w:val="none"/>
          <w:lang w:val="pt-BR"/>
        </w:rPr>
        <w:tab/>
      </w:r>
      <w:bookmarkStart w:id="0" w:name="OLE_LINK8"/>
      <w:r>
        <w:rPr>
          <w:rStyle w:val="60"/>
          <w:rFonts w:hint="eastAsia"/>
          <w:b/>
          <w:color w:val="auto"/>
          <w:highlight w:val="none"/>
          <w:lang w:val="en-US" w:eastAsia="zh-CN"/>
        </w:rPr>
        <w:t xml:space="preserve">Rx requirements for 3Tx </w:t>
      </w:r>
      <w:r>
        <w:rPr>
          <w:rStyle w:val="60"/>
          <w:rFonts w:hint="default"/>
          <w:b/>
          <w:color w:val="auto"/>
          <w:highlight w:val="none"/>
          <w:lang w:val="pt-BR" w:eastAsia="zh-CN"/>
        </w:rPr>
        <w:t>for band combinations</w:t>
      </w:r>
      <w:r>
        <w:rPr>
          <w:rStyle w:val="60"/>
          <w:rFonts w:hint="eastAsia"/>
          <w:b/>
          <w:color w:val="auto"/>
          <w:highlight w:val="none"/>
          <w:lang w:val="en-US" w:eastAsia="zh-CN"/>
        </w:rPr>
        <w:t xml:space="preserve"> within two bands</w:t>
      </w:r>
      <w:bookmarkEnd w:id="0"/>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pt-BR" w:eastAsia="zh-CN"/>
        </w:rPr>
        <w:t>Agenda item:</w:t>
      </w:r>
      <w:r>
        <w:rPr>
          <w:rStyle w:val="60"/>
          <w:rFonts w:hint="eastAsia"/>
          <w:b/>
          <w:color w:val="auto"/>
          <w:highlight w:val="none"/>
          <w:lang w:val="pt-BR" w:eastAsia="zh-CN"/>
        </w:rPr>
        <w:tab/>
      </w:r>
      <w:r>
        <w:rPr>
          <w:rStyle w:val="60"/>
          <w:rFonts w:hint="eastAsia"/>
          <w:b/>
          <w:color w:val="auto"/>
          <w:highlight w:val="none"/>
          <w:lang w:val="en-US" w:eastAsia="zh-CN"/>
        </w:rPr>
        <w:t>7.29.3.2</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eastAsia"/>
          <w:b/>
          <w:color w:val="auto"/>
          <w:highlight w:val="none"/>
          <w:lang w:val="pt-BR" w:eastAsia="zh-CN"/>
        </w:rPr>
      </w:pPr>
      <w:r>
        <w:rPr>
          <w:rStyle w:val="60"/>
          <w:rFonts w:hint="eastAsia"/>
          <w:b/>
          <w:color w:val="auto"/>
          <w:highlight w:val="none"/>
          <w:lang w:val="pt-BR" w:eastAsia="zh-CN"/>
        </w:rPr>
        <w:t>Document for:</w:t>
      </w:r>
      <w:r>
        <w:rPr>
          <w:rStyle w:val="60"/>
          <w:rFonts w:hint="eastAsia"/>
          <w:b/>
          <w:color w:val="auto"/>
          <w:highlight w:val="none"/>
          <w:lang w:val="pt-BR" w:eastAsia="zh-CN"/>
        </w:rPr>
        <w:tab/>
      </w:r>
      <w:r>
        <w:rPr>
          <w:rStyle w:val="60"/>
          <w:rFonts w:hint="eastAsia"/>
          <w:b/>
          <w:color w:val="auto"/>
          <w:highlight w:val="none"/>
          <w:lang w:val="en-US" w:eastAsia="zh-CN"/>
        </w:rPr>
        <w:t>Approval</w:t>
      </w:r>
    </w:p>
    <w:p>
      <w:pPr>
        <w:keepNext/>
        <w:keepLines/>
        <w:pageBreakBefore w:val="0"/>
        <w:widowControl/>
        <w:pBdr>
          <w:top w:val="single" w:color="auto" w:sz="12" w:space="3"/>
        </w:pBdr>
        <w:kinsoku/>
        <w:wordWrap/>
        <w:topLinePunct w:val="0"/>
        <w:bidi w:val="0"/>
        <w:snapToGrid/>
        <w:spacing w:beforeLines="0" w:after="120" w:afterLines="0"/>
        <w:jc w:val="left"/>
        <w:outlineLvl w:val="0"/>
        <w:rPr>
          <w:b/>
          <w:color w:val="auto"/>
          <w:kern w:val="0"/>
          <w:sz w:val="24"/>
          <w:szCs w:val="24"/>
          <w:highlight w:val="none"/>
        </w:rPr>
      </w:pPr>
      <w:r>
        <w:rPr>
          <w:b/>
          <w:color w:val="auto"/>
          <w:kern w:val="0"/>
          <w:sz w:val="24"/>
          <w:szCs w:val="24"/>
          <w:highlight w:val="none"/>
        </w:rPr>
        <w:t>1 Introduction</w:t>
      </w:r>
    </w:p>
    <w:p>
      <w:pPr>
        <w:keepNext/>
        <w:keepLines/>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eastAsia="宋体"/>
          <w:bCs/>
          <w:color w:val="auto"/>
          <w:kern w:val="0"/>
          <w:sz w:val="20"/>
          <w:szCs w:val="20"/>
          <w:highlight w:val="none"/>
          <w:lang w:val="en-US" w:eastAsia="zh-CN"/>
        </w:rPr>
      </w:pPr>
      <w:r>
        <w:rPr>
          <w:rFonts w:hint="eastAsia"/>
          <w:bCs/>
          <w:color w:val="auto"/>
          <w:kern w:val="0"/>
          <w:sz w:val="20"/>
          <w:szCs w:val="20"/>
          <w:highlight w:val="none"/>
          <w:lang w:val="en-US" w:eastAsia="zh-CN"/>
        </w:rPr>
        <w:t>The topic summary for 3Tx UE can be found in [1] in last meeting, in which for the Rx requirements, there are several agreements included in the WF [2].</w:t>
      </w:r>
      <w:bookmarkStart w:id="1" w:name="OLE_LINK25"/>
      <w:r>
        <w:rPr>
          <w:rFonts w:hint="eastAsia"/>
          <w:bCs/>
          <w:color w:val="auto"/>
          <w:kern w:val="0"/>
          <w:sz w:val="20"/>
          <w:szCs w:val="20"/>
          <w:highlight w:val="none"/>
          <w:lang w:val="en-US" w:eastAsia="zh-CN"/>
        </w:rPr>
        <w:t xml:space="preserve"> </w:t>
      </w:r>
      <w:r>
        <w:rPr>
          <w:rFonts w:hint="eastAsia" w:eastAsia="宋体"/>
          <w:bCs/>
          <w:color w:val="auto"/>
          <w:kern w:val="0"/>
          <w:sz w:val="20"/>
          <w:szCs w:val="20"/>
          <w:highlight w:val="none"/>
          <w:lang w:val="en-US" w:eastAsia="zh-CN"/>
        </w:rPr>
        <w:t xml:space="preserve">In this contributions, we give </w:t>
      </w:r>
      <w:r>
        <w:rPr>
          <w:rFonts w:hint="eastAsia"/>
          <w:bCs/>
          <w:color w:val="auto"/>
          <w:kern w:val="0"/>
          <w:sz w:val="20"/>
          <w:szCs w:val="20"/>
          <w:highlight w:val="none"/>
          <w:lang w:val="en-US" w:eastAsia="zh-CN"/>
        </w:rPr>
        <w:t xml:space="preserve">a bit further </w:t>
      </w:r>
      <w:r>
        <w:rPr>
          <w:rFonts w:hint="eastAsia" w:eastAsia="宋体"/>
          <w:bCs/>
          <w:color w:val="auto"/>
          <w:kern w:val="0"/>
          <w:sz w:val="20"/>
          <w:szCs w:val="20"/>
          <w:highlight w:val="none"/>
          <w:lang w:val="en-US" w:eastAsia="zh-CN"/>
        </w:rPr>
        <w:t xml:space="preserve">discussions on </w:t>
      </w:r>
      <w:bookmarkStart w:id="2" w:name="OLE_LINK94"/>
      <w:r>
        <w:rPr>
          <w:rFonts w:hint="eastAsia" w:eastAsia="宋体"/>
          <w:bCs/>
          <w:color w:val="auto"/>
          <w:kern w:val="0"/>
          <w:sz w:val="20"/>
          <w:szCs w:val="20"/>
          <w:highlight w:val="none"/>
          <w:lang w:val="en-US" w:eastAsia="zh-CN"/>
        </w:rPr>
        <w:t>the</w:t>
      </w:r>
      <w:r>
        <w:rPr>
          <w:rFonts w:hint="eastAsia"/>
          <w:bCs/>
          <w:color w:val="auto"/>
          <w:kern w:val="0"/>
          <w:sz w:val="20"/>
          <w:szCs w:val="20"/>
          <w:highlight w:val="none"/>
          <w:lang w:val="en-US" w:eastAsia="zh-CN"/>
        </w:rPr>
        <w:t xml:space="preserve"> Rx RF requirements for 3Tx inter-band UL CA/ENDC</w:t>
      </w:r>
      <w:bookmarkEnd w:id="2"/>
      <w:r>
        <w:rPr>
          <w:rFonts w:hint="eastAsia"/>
          <w:bCs/>
          <w:color w:val="auto"/>
          <w:kern w:val="0"/>
          <w:sz w:val="20"/>
          <w:szCs w:val="20"/>
          <w:highlight w:val="none"/>
          <w:lang w:val="en-US" w:eastAsia="zh-CN"/>
        </w:rPr>
        <w:t xml:space="preserve">. </w:t>
      </w:r>
    </w:p>
    <w:bookmarkEnd w:id="1"/>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2</w:t>
      </w:r>
      <w:r>
        <w:rPr>
          <w:b/>
          <w:color w:val="auto"/>
          <w:kern w:val="0"/>
          <w:sz w:val="24"/>
          <w:szCs w:val="24"/>
          <w:highlight w:val="none"/>
        </w:rPr>
        <w:tab/>
      </w:r>
      <w:r>
        <w:rPr>
          <w:b/>
          <w:color w:val="auto"/>
          <w:kern w:val="0"/>
          <w:sz w:val="24"/>
          <w:szCs w:val="24"/>
          <w:highlight w:val="none"/>
        </w:rPr>
        <w:t>Discussion</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Cs/>
          <w:color w:val="auto"/>
          <w:kern w:val="0"/>
          <w:sz w:val="20"/>
          <w:szCs w:val="20"/>
          <w:highlight w:val="none"/>
          <w:lang w:val="en-US" w:eastAsia="zh-CN"/>
        </w:rPr>
      </w:pPr>
      <w:bookmarkStart w:id="3" w:name="OLE_LINK66"/>
      <w:bookmarkStart w:id="4" w:name="OLE_LINK23"/>
      <w:bookmarkStart w:id="5" w:name="OLE_LINK24"/>
      <w:bookmarkStart w:id="6" w:name="OLE_LINK28"/>
      <w:bookmarkStart w:id="7" w:name="OLE_LINK52"/>
      <w:r>
        <w:rPr>
          <w:rFonts w:hint="eastAsia"/>
          <w:bCs/>
          <w:color w:val="auto"/>
          <w:kern w:val="0"/>
          <w:sz w:val="20"/>
          <w:szCs w:val="20"/>
          <w:highlight w:val="none"/>
          <w:lang w:val="en-US" w:eastAsia="zh-CN"/>
        </w:rPr>
        <w:t>For Rx requirements, the most important BC specific requirement is MSD, which is also controversial for 3Tx MSD. In terms of the discussion in the past, one of the key point is whether or not reuse the MSD from the corresponding 2Tx with the same power class, which are also included in the WF [2].</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b/>
          <w:bCs w:val="0"/>
          <w:color w:val="auto"/>
          <w:kern w:val="0"/>
          <w:sz w:val="20"/>
          <w:szCs w:val="20"/>
          <w:highlight w:val="none"/>
          <w:u w:val="single"/>
          <w:lang w:val="en-US" w:eastAsia="zh-CN"/>
        </w:rPr>
      </w:pPr>
      <w:r>
        <w:rPr>
          <w:rFonts w:hint="eastAsia"/>
          <w:b/>
          <w:bCs w:val="0"/>
          <w:color w:val="auto"/>
          <w:kern w:val="0"/>
          <w:sz w:val="20"/>
          <w:szCs w:val="20"/>
          <w:highlight w:val="none"/>
          <w:u w:val="single"/>
          <w:lang w:val="en-US" w:eastAsia="zh-CN"/>
        </w:rPr>
        <w:t>PC2 3Tx</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 xml:space="preserve">For harmonic MSD, it was agreed that no </w:t>
      </w:r>
      <w:bookmarkStart w:id="8" w:name="OLE_LINK4"/>
      <w:r>
        <w:rPr>
          <w:rFonts w:hint="eastAsia"/>
          <w:bCs/>
          <w:color w:val="auto"/>
          <w:kern w:val="0"/>
          <w:sz w:val="20"/>
          <w:szCs w:val="20"/>
          <w:highlight w:val="none"/>
          <w:lang w:val="en-US" w:eastAsia="zh-CN"/>
        </w:rPr>
        <w:t>harmonic MSD needs be analysed</w:t>
      </w:r>
      <w:bookmarkEnd w:id="8"/>
      <w:r>
        <w:rPr>
          <w:rFonts w:hint="eastAsia"/>
          <w:bCs/>
          <w:color w:val="auto"/>
          <w:kern w:val="0"/>
          <w:sz w:val="20"/>
          <w:szCs w:val="20"/>
          <w:highlight w:val="none"/>
          <w:lang w:val="en-US" w:eastAsia="zh-CN"/>
        </w:rPr>
        <w:t xml:space="preserve"> for band combination with high TDD band supporting 2Tx in this 3Tx WI due to the 2Tx is configured in high TDD band while 1Tx is kept for the low FDD band, in this case, no harmonic MSD needs be analysed.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bCs/>
          <w:color w:val="auto"/>
          <w:kern w:val="0"/>
          <w:sz w:val="20"/>
          <w:szCs w:val="20"/>
          <w:highlight w:val="none"/>
          <w:lang w:val="en-US" w:eastAsia="zh-CN"/>
        </w:rPr>
      </w:pPr>
      <w:r>
        <w:rPr>
          <w:rFonts w:hint="eastAsia"/>
          <w:bCs/>
          <w:color w:val="auto"/>
          <w:kern w:val="0"/>
          <w:sz w:val="20"/>
          <w:szCs w:val="20"/>
          <w:highlight w:val="none"/>
          <w:lang w:val="en-US" w:eastAsia="zh-CN"/>
        </w:rPr>
        <w:t xml:space="preserve">For </w:t>
      </w:r>
      <w:bookmarkStart w:id="9" w:name="OLE_LINK46"/>
      <w:r>
        <w:rPr>
          <w:rFonts w:hint="eastAsia"/>
          <w:bCs/>
          <w:color w:val="auto"/>
          <w:kern w:val="0"/>
          <w:sz w:val="20"/>
          <w:szCs w:val="20"/>
          <w:highlight w:val="none"/>
          <w:lang w:val="en-US" w:eastAsia="zh-CN"/>
        </w:rPr>
        <w:t>harmonic mixing MSD, cross band isolation MSD and IMD MSD</w:t>
      </w:r>
      <w:bookmarkEnd w:id="9"/>
      <w:r>
        <w:rPr>
          <w:rFonts w:hint="eastAsia"/>
          <w:bCs/>
          <w:color w:val="auto"/>
          <w:kern w:val="0"/>
          <w:sz w:val="20"/>
          <w:szCs w:val="20"/>
          <w:highlight w:val="none"/>
          <w:lang w:val="en-US" w:eastAsia="zh-CN"/>
        </w:rPr>
        <w:t xml:space="preserve">, these two types of MSD usually happen from </w:t>
      </w:r>
      <w:bookmarkStart w:id="10" w:name="OLE_LINK5"/>
      <w:r>
        <w:rPr>
          <w:rFonts w:hint="eastAsia"/>
          <w:bCs/>
          <w:color w:val="auto"/>
          <w:kern w:val="0"/>
          <w:sz w:val="20"/>
          <w:szCs w:val="20"/>
          <w:highlight w:val="none"/>
          <w:lang w:val="en-US" w:eastAsia="zh-CN"/>
        </w:rPr>
        <w:t xml:space="preserve">aggressor 2Tx </w:t>
      </w:r>
      <w:bookmarkEnd w:id="10"/>
      <w:r>
        <w:rPr>
          <w:rFonts w:hint="eastAsia"/>
          <w:bCs/>
          <w:color w:val="auto"/>
          <w:kern w:val="0"/>
          <w:sz w:val="20"/>
          <w:szCs w:val="20"/>
          <w:highlight w:val="none"/>
          <w:lang w:val="en-US" w:eastAsia="zh-CN"/>
        </w:rPr>
        <w:t xml:space="preserve">high TDD band to 1Tx victim low band. In our current understanding, for the same power class band with 1Tx (26dBm) and 2Tx(2*23dBm), the big difference would be that the </w:t>
      </w:r>
      <w:bookmarkStart w:id="11" w:name="OLE_LINK10"/>
      <w:bookmarkStart w:id="12" w:name="OLE_LINK7"/>
      <w:bookmarkStart w:id="13" w:name="OLE_LINK9"/>
      <w:r>
        <w:rPr>
          <w:rFonts w:hint="eastAsia"/>
          <w:bCs/>
          <w:color w:val="auto"/>
          <w:kern w:val="0"/>
          <w:sz w:val="20"/>
          <w:szCs w:val="20"/>
          <w:highlight w:val="none"/>
          <w:lang w:val="en-US" w:eastAsia="zh-CN"/>
        </w:rPr>
        <w:t>reverse IMD</w:t>
      </w:r>
      <w:bookmarkEnd w:id="11"/>
      <w:r>
        <w:rPr>
          <w:rFonts w:hint="eastAsia"/>
          <w:bCs/>
          <w:color w:val="auto"/>
          <w:kern w:val="0"/>
          <w:sz w:val="20"/>
          <w:szCs w:val="20"/>
          <w:highlight w:val="none"/>
          <w:lang w:val="en-US" w:eastAsia="zh-CN"/>
        </w:rPr>
        <w:t xml:space="preserve"> </w:t>
      </w:r>
      <w:bookmarkEnd w:id="12"/>
      <w:r>
        <w:rPr>
          <w:rFonts w:hint="eastAsia"/>
          <w:bCs/>
          <w:color w:val="auto"/>
          <w:kern w:val="0"/>
          <w:sz w:val="20"/>
          <w:szCs w:val="20"/>
          <w:highlight w:val="none"/>
          <w:lang w:val="en-US" w:eastAsia="zh-CN"/>
        </w:rPr>
        <w:t xml:space="preserve">products of </w:t>
      </w:r>
      <w:bookmarkStart w:id="14" w:name="OLE_LINK14"/>
      <w:r>
        <w:rPr>
          <w:rFonts w:hint="eastAsia"/>
          <w:bCs/>
          <w:color w:val="auto"/>
          <w:kern w:val="0"/>
          <w:sz w:val="20"/>
          <w:szCs w:val="20"/>
          <w:highlight w:val="none"/>
          <w:lang w:val="en-US" w:eastAsia="zh-CN"/>
        </w:rPr>
        <w:t>aggressor 2Tx</w:t>
      </w:r>
      <w:bookmarkEnd w:id="13"/>
      <w:r>
        <w:rPr>
          <w:rFonts w:hint="eastAsia"/>
          <w:bCs/>
          <w:color w:val="auto"/>
          <w:kern w:val="0"/>
          <w:sz w:val="20"/>
          <w:szCs w:val="20"/>
          <w:highlight w:val="none"/>
          <w:lang w:val="en-US" w:eastAsia="zh-CN"/>
        </w:rPr>
        <w:t xml:space="preserve"> band</w:t>
      </w:r>
      <w:bookmarkEnd w:id="14"/>
      <w:r>
        <w:rPr>
          <w:rFonts w:hint="eastAsia"/>
          <w:bCs/>
          <w:color w:val="auto"/>
          <w:kern w:val="0"/>
          <w:sz w:val="20"/>
          <w:szCs w:val="20"/>
          <w:highlight w:val="none"/>
          <w:lang w:val="en-US" w:eastAsia="zh-CN"/>
        </w:rPr>
        <w:t xml:space="preserve"> </w:t>
      </w:r>
      <w:bookmarkStart w:id="15" w:name="OLE_LINK36"/>
      <w:r>
        <w:rPr>
          <w:rFonts w:hint="eastAsia"/>
          <w:bCs/>
          <w:color w:val="auto"/>
          <w:kern w:val="0"/>
          <w:sz w:val="20"/>
          <w:szCs w:val="20"/>
          <w:highlight w:val="none"/>
          <w:lang w:val="en-US" w:eastAsia="zh-CN"/>
        </w:rPr>
        <w:t>via PCB path and/or conductive path may cause additional interference on the victim band Rx</w:t>
      </w:r>
      <w:bookmarkEnd w:id="15"/>
      <w:r>
        <w:rPr>
          <w:rFonts w:hint="eastAsia"/>
          <w:bCs/>
          <w:color w:val="auto"/>
          <w:kern w:val="0"/>
          <w:sz w:val="20"/>
          <w:szCs w:val="20"/>
          <w:highlight w:val="none"/>
          <w:lang w:val="en-US" w:eastAsia="zh-CN"/>
        </w:rPr>
        <w:t>, while reverse IMD of aggressor 1Tx band is not considered.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bCs/>
          <w:color w:val="auto"/>
          <w:kern w:val="0"/>
          <w:sz w:val="20"/>
          <w:szCs w:val="20"/>
          <w:highlight w:val="none"/>
          <w:lang w:val="en-US" w:eastAsia="zh-CN"/>
        </w:rPr>
      </w:pPr>
      <w:r>
        <w:rPr>
          <w:rFonts w:hint="eastAsia"/>
          <w:bCs/>
          <w:color w:val="auto"/>
          <w:kern w:val="0"/>
          <w:sz w:val="20"/>
          <w:szCs w:val="20"/>
          <w:highlight w:val="none"/>
          <w:lang w:val="en-US" w:eastAsia="zh-CN"/>
        </w:rPr>
        <w:t>Regarding</w:t>
      </w:r>
      <w:bookmarkStart w:id="16" w:name="OLE_LINK27"/>
      <w:r>
        <w:rPr>
          <w:rFonts w:hint="eastAsia"/>
          <w:bCs/>
          <w:color w:val="auto"/>
          <w:kern w:val="0"/>
          <w:sz w:val="20"/>
          <w:szCs w:val="20"/>
          <w:highlight w:val="none"/>
          <w:lang w:val="en-US" w:eastAsia="zh-CN"/>
        </w:rPr>
        <w:t xml:space="preserve"> the reverse IMD products of </w:t>
      </w:r>
      <w:bookmarkStart w:id="17" w:name="OLE_LINK20"/>
      <w:bookmarkStart w:id="18" w:name="OLE_LINK21"/>
      <w:r>
        <w:rPr>
          <w:rFonts w:hint="eastAsia"/>
          <w:bCs/>
          <w:color w:val="auto"/>
          <w:kern w:val="0"/>
          <w:sz w:val="20"/>
          <w:szCs w:val="20"/>
          <w:highlight w:val="none"/>
          <w:lang w:val="en-US" w:eastAsia="zh-CN"/>
        </w:rPr>
        <w:t xml:space="preserve">aggressor </w:t>
      </w:r>
      <w:bookmarkEnd w:id="17"/>
      <w:r>
        <w:rPr>
          <w:rFonts w:hint="eastAsia"/>
          <w:bCs/>
          <w:color w:val="auto"/>
          <w:kern w:val="0"/>
          <w:sz w:val="20"/>
          <w:szCs w:val="20"/>
          <w:highlight w:val="none"/>
          <w:lang w:val="en-US" w:eastAsia="zh-CN"/>
        </w:rPr>
        <w:t>2Tx band</w:t>
      </w:r>
      <w:bookmarkEnd w:id="16"/>
      <w:bookmarkEnd w:id="18"/>
      <w:r>
        <w:rPr>
          <w:rFonts w:hint="eastAsia"/>
          <w:bCs/>
          <w:color w:val="auto"/>
          <w:kern w:val="0"/>
          <w:sz w:val="20"/>
          <w:szCs w:val="20"/>
          <w:highlight w:val="none"/>
          <w:lang w:val="en-US" w:eastAsia="zh-CN"/>
        </w:rPr>
        <w:t xml:space="preserve">, </w:t>
      </w:r>
      <w:bookmarkStart w:id="19" w:name="OLE_LINK16"/>
      <w:r>
        <w:rPr>
          <w:rFonts w:hint="eastAsia"/>
          <w:bCs/>
          <w:color w:val="auto"/>
          <w:kern w:val="0"/>
          <w:sz w:val="20"/>
          <w:szCs w:val="20"/>
          <w:highlight w:val="none"/>
          <w:lang w:val="en-US" w:eastAsia="zh-CN"/>
        </w:rPr>
        <w:t>it would be difficult</w:t>
      </w:r>
      <w:bookmarkEnd w:id="19"/>
      <w:r>
        <w:rPr>
          <w:rFonts w:hint="eastAsia"/>
          <w:bCs/>
          <w:color w:val="auto"/>
          <w:kern w:val="0"/>
          <w:sz w:val="20"/>
          <w:szCs w:val="20"/>
          <w:highlight w:val="none"/>
          <w:lang w:val="en-US" w:eastAsia="zh-CN"/>
        </w:rPr>
        <w:t xml:space="preserve"> for the calculation in RAN4 since models, combine methods, and etc. might be hard to discuss and </w:t>
      </w:r>
      <w:bookmarkStart w:id="20" w:name="OLE_LINK19"/>
      <w:r>
        <w:rPr>
          <w:rFonts w:hint="eastAsia"/>
          <w:bCs/>
          <w:color w:val="auto"/>
          <w:kern w:val="0"/>
          <w:sz w:val="20"/>
          <w:szCs w:val="20"/>
          <w:highlight w:val="none"/>
          <w:lang w:val="en-US" w:eastAsia="zh-CN"/>
        </w:rPr>
        <w:t>converge</w:t>
      </w:r>
      <w:bookmarkEnd w:id="20"/>
      <w:r>
        <w:rPr>
          <w:rFonts w:hint="eastAsia"/>
          <w:bCs/>
          <w:color w:val="auto"/>
          <w:kern w:val="0"/>
          <w:sz w:val="20"/>
          <w:szCs w:val="20"/>
          <w:highlight w:val="none"/>
          <w:lang w:val="en-US" w:eastAsia="zh-CN"/>
        </w:rPr>
        <w:t xml:space="preserve">. However, with the past experiences, it seems it can be evaluated by </w:t>
      </w:r>
      <w:bookmarkStart w:id="21" w:name="OLE_LINK37"/>
      <w:r>
        <w:rPr>
          <w:rFonts w:hint="eastAsia"/>
          <w:bCs/>
          <w:color w:val="auto"/>
          <w:kern w:val="0"/>
          <w:sz w:val="20"/>
          <w:szCs w:val="20"/>
          <w:highlight w:val="none"/>
          <w:lang w:val="en-US" w:eastAsia="zh-CN"/>
        </w:rPr>
        <w:t>measurements</w:t>
      </w:r>
      <w:bookmarkEnd w:id="21"/>
      <w:r>
        <w:rPr>
          <w:rFonts w:hint="eastAsia"/>
          <w:bCs/>
          <w:color w:val="auto"/>
          <w:kern w:val="0"/>
          <w:sz w:val="20"/>
          <w:szCs w:val="20"/>
          <w:highlight w:val="none"/>
          <w:lang w:val="en-US" w:eastAsia="zh-CN"/>
        </w:rPr>
        <w:t xml:space="preserve">.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b/>
          <w:bCs w:val="0"/>
          <w:i/>
          <w:iCs/>
          <w:color w:val="auto"/>
          <w:kern w:val="0"/>
          <w:sz w:val="20"/>
          <w:szCs w:val="20"/>
          <w:highlight w:val="none"/>
          <w:lang w:val="en-US" w:eastAsia="zh-CN"/>
        </w:rPr>
      </w:pPr>
      <w:bookmarkStart w:id="22" w:name="OLE_LINK38"/>
      <w:r>
        <w:rPr>
          <w:rFonts w:hint="eastAsia"/>
          <w:b/>
          <w:bCs w:val="0"/>
          <w:i/>
          <w:iCs/>
          <w:color w:val="auto"/>
          <w:kern w:val="0"/>
          <w:sz w:val="20"/>
          <w:szCs w:val="20"/>
          <w:highlight w:val="none"/>
          <w:lang w:val="en-US" w:eastAsia="zh-CN"/>
        </w:rPr>
        <w:t xml:space="preserve">Observation 1. For the same power class in aggressor band, comparing with aggressor 1Tx (26dBm) band, the reverse </w:t>
      </w:r>
      <w:bookmarkStart w:id="23" w:name="OLE_LINK47"/>
      <w:r>
        <w:rPr>
          <w:rFonts w:hint="eastAsia"/>
          <w:b/>
          <w:bCs w:val="0"/>
          <w:i/>
          <w:iCs/>
          <w:color w:val="auto"/>
          <w:kern w:val="0"/>
          <w:sz w:val="20"/>
          <w:szCs w:val="20"/>
          <w:highlight w:val="none"/>
          <w:lang w:val="en-US" w:eastAsia="zh-CN"/>
        </w:rPr>
        <w:t xml:space="preserve">IMD </w:t>
      </w:r>
      <w:bookmarkStart w:id="24" w:name="OLE_LINK35"/>
      <w:r>
        <w:rPr>
          <w:rFonts w:hint="eastAsia"/>
          <w:b/>
          <w:bCs w:val="0"/>
          <w:i/>
          <w:iCs/>
          <w:color w:val="auto"/>
          <w:kern w:val="0"/>
          <w:sz w:val="20"/>
          <w:szCs w:val="20"/>
          <w:highlight w:val="none"/>
          <w:lang w:val="en-US" w:eastAsia="zh-CN"/>
        </w:rPr>
        <w:t xml:space="preserve">products </w:t>
      </w:r>
      <w:bookmarkEnd w:id="24"/>
      <w:r>
        <w:rPr>
          <w:rFonts w:hint="eastAsia"/>
          <w:b/>
          <w:bCs w:val="0"/>
          <w:i/>
          <w:iCs/>
          <w:color w:val="auto"/>
          <w:kern w:val="0"/>
          <w:sz w:val="20"/>
          <w:szCs w:val="20"/>
          <w:highlight w:val="none"/>
          <w:lang w:val="en-US" w:eastAsia="zh-CN"/>
        </w:rPr>
        <w:t>of aggressor 2Tx band</w:t>
      </w:r>
      <w:bookmarkEnd w:id="23"/>
      <w:r>
        <w:rPr>
          <w:rFonts w:hint="eastAsia"/>
          <w:b/>
          <w:bCs w:val="0"/>
          <w:i/>
          <w:iCs/>
          <w:color w:val="auto"/>
          <w:kern w:val="0"/>
          <w:sz w:val="20"/>
          <w:szCs w:val="20"/>
          <w:highlight w:val="none"/>
          <w:lang w:val="en-US" w:eastAsia="zh-CN"/>
        </w:rPr>
        <w:t xml:space="preserve"> via PCB path and/or conductive path may cause additional interference on the victim band Rx, which might need some measurements on the impacts.</w:t>
      </w:r>
    </w:p>
    <w:bookmarkEnd w:id="22"/>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s="Times New Roman"/>
          <w:b w:val="0"/>
          <w:bCs w:val="0"/>
          <w:i w:val="0"/>
          <w:iCs w:val="0"/>
          <w:color w:val="auto"/>
          <w:kern w:val="0"/>
          <w:sz w:val="20"/>
          <w:szCs w:val="20"/>
          <w:highlight w:val="none"/>
          <w:lang w:val="en-US" w:eastAsia="zh-CN"/>
        </w:rPr>
      </w:pPr>
      <w:r>
        <w:rPr>
          <w:rFonts w:hint="eastAsia"/>
          <w:sz w:val="20"/>
          <w:szCs w:val="20"/>
          <w:lang w:val="en-US" w:eastAsia="zh-CN"/>
        </w:rPr>
        <w:t xml:space="preserve">Another aspect which might be considered is the </w:t>
      </w:r>
      <w:bookmarkStart w:id="25" w:name="OLE_LINK39"/>
      <w:r>
        <w:rPr>
          <w:rFonts w:hint="eastAsia"/>
          <w:sz w:val="20"/>
          <w:szCs w:val="20"/>
          <w:lang w:val="en-US" w:eastAsia="zh-CN"/>
        </w:rPr>
        <w:t>PA output power and PA noise of 26dBm and 23dBm would be different due to the PA design</w:t>
      </w:r>
      <w:bookmarkEnd w:id="25"/>
      <w:r>
        <w:rPr>
          <w:rFonts w:hint="eastAsia"/>
          <w:sz w:val="20"/>
          <w:szCs w:val="20"/>
          <w:lang w:val="en-US" w:eastAsia="zh-CN"/>
        </w:rPr>
        <w:t xml:space="preserve">. For the case of PC2 aggressor NR UL MIMO band, the interference into victim band come from two 23PAs via PCB path and conductive path, respectively. Although the each PA output power is 23dBm for concurrent 3Tx, it seems the eventual MSD value has no linear relationship with PA output power.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val="0"/>
          <w:i/>
          <w:iCs/>
          <w:color w:val="auto"/>
          <w:kern w:val="0"/>
          <w:sz w:val="20"/>
          <w:szCs w:val="20"/>
          <w:highlight w:val="none"/>
          <w:lang w:val="en-US" w:eastAsia="zh-CN"/>
        </w:rPr>
      </w:pPr>
      <w:bookmarkStart w:id="26" w:name="OLE_LINK48"/>
      <w:bookmarkStart w:id="27" w:name="OLE_LINK11"/>
      <w:r>
        <w:rPr>
          <w:rFonts w:hint="eastAsia"/>
          <w:b/>
          <w:bCs w:val="0"/>
          <w:i/>
          <w:iCs/>
          <w:color w:val="auto"/>
          <w:kern w:val="0"/>
          <w:sz w:val="20"/>
          <w:szCs w:val="20"/>
          <w:highlight w:val="none"/>
          <w:lang w:val="en-US" w:eastAsia="zh-CN"/>
        </w:rPr>
        <w:t>Observation 2.</w:t>
      </w:r>
      <w:bookmarkEnd w:id="26"/>
      <w:r>
        <w:rPr>
          <w:rFonts w:hint="eastAsia"/>
          <w:b/>
          <w:bCs w:val="0"/>
          <w:i/>
          <w:iCs/>
          <w:color w:val="auto"/>
          <w:kern w:val="0"/>
          <w:sz w:val="20"/>
          <w:szCs w:val="20"/>
          <w:highlight w:val="none"/>
          <w:lang w:val="en-US" w:eastAsia="zh-CN"/>
        </w:rPr>
        <w:t xml:space="preserve"> PA output power and PA noise of 26dBm and 23dBm would be different due to the PA design which may cause MSD difference between 1Tx and 2Tx aggressor band.</w:t>
      </w:r>
    </w:p>
    <w:bookmarkEnd w:id="27"/>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cs="Times New Roman"/>
          <w:b w:val="0"/>
          <w:bCs w:val="0"/>
          <w:i w:val="0"/>
          <w:iCs w:val="0"/>
          <w:color w:val="auto"/>
          <w:kern w:val="0"/>
          <w:sz w:val="20"/>
          <w:szCs w:val="20"/>
          <w:highlight w:val="none"/>
          <w:lang w:val="en-US" w:eastAsia="zh-CN"/>
        </w:rPr>
      </w:pPr>
      <w:r>
        <w:rPr>
          <w:rFonts w:hint="eastAsia"/>
          <w:bCs/>
          <w:color w:val="auto"/>
          <w:kern w:val="0"/>
          <w:sz w:val="20"/>
          <w:szCs w:val="20"/>
          <w:highlight w:val="none"/>
          <w:lang w:val="en-US" w:eastAsia="zh-CN"/>
        </w:rPr>
        <w:t>Therefore, we think some measurements would be needed for the impacts in practical. I</w:t>
      </w:r>
      <w:r>
        <w:rPr>
          <w:rFonts w:hint="eastAsia" w:cs="Times New Roman"/>
          <w:b w:val="0"/>
          <w:bCs w:val="0"/>
          <w:i w:val="0"/>
          <w:iCs w:val="0"/>
          <w:color w:val="auto"/>
          <w:kern w:val="0"/>
          <w:sz w:val="20"/>
          <w:szCs w:val="20"/>
          <w:highlight w:val="none"/>
          <w:lang w:val="en-US" w:eastAsia="zh-CN"/>
        </w:rPr>
        <w:t>t is proposed to select one or two example band combinations to re-evaluate/measure the MSD value to see the delta MSD compared to the existing MSD for PC2 band combination. If the delta MSD is small enough such as &lt;2dB, then we think the current 1Tx aggressor MSD with same power class can be re-used to save workload.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i/>
          <w:iCs/>
          <w:color w:val="auto"/>
          <w:sz w:val="20"/>
          <w:szCs w:val="20"/>
          <w:lang w:val="en-US" w:eastAsia="zh-CN"/>
        </w:rPr>
      </w:pPr>
      <w:bookmarkStart w:id="28" w:name="OLE_LINK51"/>
      <w:bookmarkStart w:id="29" w:name="OLE_LINK3"/>
      <w:r>
        <w:rPr>
          <w:rFonts w:hint="eastAsia"/>
          <w:b/>
          <w:bCs/>
          <w:i/>
          <w:iCs/>
          <w:color w:val="auto"/>
          <w:sz w:val="20"/>
          <w:szCs w:val="20"/>
          <w:lang w:val="en-US" w:eastAsia="zh-CN"/>
        </w:rPr>
        <w:t xml:space="preserve">Proposal 1: </w:t>
      </w:r>
      <w:bookmarkEnd w:id="28"/>
      <w:r>
        <w:rPr>
          <w:rFonts w:hint="eastAsia"/>
          <w:b/>
          <w:bCs/>
          <w:i/>
          <w:iCs/>
          <w:color w:val="auto"/>
          <w:sz w:val="20"/>
          <w:szCs w:val="20"/>
          <w:lang w:val="en-US" w:eastAsia="zh-CN"/>
        </w:rPr>
        <w:t>For measurements purpose, it is proposed to select one or two example band combinations to re-evaluate the MSD value for harmonic mixing, cross band isolation MSD and IMD to see the delta MSD compared to the existing MSD of PC2 band combination.</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cs="Times New Roman"/>
          <w:b w:val="0"/>
          <w:bCs w:val="0"/>
          <w:i w:val="0"/>
          <w:iCs w:val="0"/>
          <w:color w:val="auto"/>
          <w:kern w:val="0"/>
          <w:sz w:val="20"/>
          <w:szCs w:val="20"/>
          <w:highlight w:val="none"/>
          <w:u w:val="none"/>
          <w:lang w:val="en-US" w:eastAsia="zh-CN" w:bidi="ar-SA"/>
        </w:rPr>
      </w:pPr>
      <w:r>
        <w:rPr>
          <w:rFonts w:hint="eastAsia" w:cs="Times New Roman"/>
          <w:b w:val="0"/>
          <w:bCs w:val="0"/>
          <w:i w:val="0"/>
          <w:iCs w:val="0"/>
          <w:color w:val="auto"/>
          <w:kern w:val="0"/>
          <w:sz w:val="20"/>
          <w:szCs w:val="20"/>
          <w:highlight w:val="none"/>
          <w:lang w:val="en-US" w:eastAsia="zh-CN"/>
        </w:rPr>
        <w:t xml:space="preserve">For the </w:t>
      </w:r>
      <w:r>
        <w:rPr>
          <w:rFonts w:hint="eastAsia" w:ascii="Times New Roman" w:hAnsi="Times New Roman" w:cs="Times New Roman"/>
          <w:b w:val="0"/>
          <w:bCs w:val="0"/>
          <w:color w:val="auto"/>
          <w:kern w:val="0"/>
          <w:sz w:val="20"/>
          <w:szCs w:val="20"/>
          <w:highlight w:val="none"/>
        </w:rPr>
        <w:t>uplink/downlink configurations</w:t>
      </w:r>
      <w:r>
        <w:rPr>
          <w:rFonts w:hint="eastAsia" w:cs="Times New Roman"/>
          <w:b w:val="0"/>
          <w:bCs w:val="0"/>
          <w:color w:val="auto"/>
          <w:kern w:val="0"/>
          <w:sz w:val="20"/>
          <w:szCs w:val="20"/>
          <w:highlight w:val="none"/>
          <w:lang w:val="en-US" w:eastAsia="zh-CN"/>
        </w:rPr>
        <w:t>, we think the existing PC2 band combination are re-used for concurrent 3Tx PC2 band combination.</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i/>
          <w:iCs/>
          <w:color w:val="auto"/>
          <w:sz w:val="20"/>
          <w:szCs w:val="20"/>
          <w:lang w:val="en-US" w:eastAsia="zh-CN"/>
        </w:rPr>
      </w:pPr>
      <w:r>
        <w:rPr>
          <w:rFonts w:hint="eastAsia"/>
          <w:b/>
          <w:bCs/>
          <w:i/>
          <w:iCs/>
          <w:color w:val="auto"/>
          <w:sz w:val="20"/>
          <w:szCs w:val="20"/>
          <w:lang w:val="en-US" w:eastAsia="zh-CN"/>
        </w:rPr>
        <w:t xml:space="preserve">Proposal 2: Same </w:t>
      </w:r>
      <w:r>
        <w:rPr>
          <w:rFonts w:hint="eastAsia" w:ascii="Times New Roman" w:hAnsi="Times New Roman" w:cs="Times New Roman"/>
          <w:b/>
          <w:bCs/>
          <w:i/>
          <w:iCs/>
          <w:color w:val="auto"/>
          <w:kern w:val="2"/>
          <w:sz w:val="20"/>
          <w:szCs w:val="20"/>
        </w:rPr>
        <w:t>uplink/downlink configurations</w:t>
      </w:r>
      <w:r>
        <w:rPr>
          <w:rFonts w:hint="eastAsia" w:cs="Times New Roman"/>
          <w:b/>
          <w:bCs/>
          <w:i/>
          <w:iCs/>
          <w:color w:val="auto"/>
          <w:kern w:val="2"/>
          <w:sz w:val="20"/>
          <w:szCs w:val="20"/>
          <w:lang w:val="en-US" w:eastAsia="zh-CN"/>
        </w:rPr>
        <w:t xml:space="preserve"> of the existing PC2 band combination are for concurrent 3Tx PC2 band combination.</w:t>
      </w:r>
    </w:p>
    <w:bookmarkEnd w:id="29"/>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val="0"/>
          <w:color w:val="auto"/>
          <w:kern w:val="0"/>
          <w:sz w:val="20"/>
          <w:szCs w:val="20"/>
          <w:highlight w:val="none"/>
          <w:u w:val="single"/>
          <w:lang w:val="en-US" w:eastAsia="zh-CN"/>
        </w:rPr>
      </w:pPr>
      <w:r>
        <w:rPr>
          <w:rFonts w:hint="eastAsia"/>
          <w:b/>
          <w:bCs w:val="0"/>
          <w:color w:val="auto"/>
          <w:kern w:val="0"/>
          <w:sz w:val="20"/>
          <w:szCs w:val="20"/>
          <w:highlight w:val="none"/>
          <w:u w:val="single"/>
          <w:lang w:val="en-US" w:eastAsia="zh-CN"/>
        </w:rPr>
        <w:t>PC1.5 3Tx</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cs="Times New Roman"/>
          <w:b w:val="0"/>
          <w:bCs w:val="0"/>
          <w:i w:val="0"/>
          <w:iCs w:val="0"/>
          <w:color w:val="auto"/>
          <w:kern w:val="0"/>
          <w:sz w:val="20"/>
          <w:szCs w:val="20"/>
          <w:highlight w:val="none"/>
          <w:u w:val="single"/>
          <w:lang w:val="en-US" w:eastAsia="zh-CN"/>
        </w:rPr>
      </w:pPr>
      <w:r>
        <w:rPr>
          <w:rFonts w:hint="eastAsia" w:cs="Times New Roman"/>
          <w:b w:val="0"/>
          <w:bCs w:val="0"/>
          <w:i w:val="0"/>
          <w:iCs w:val="0"/>
          <w:color w:val="auto"/>
          <w:kern w:val="0"/>
          <w:sz w:val="20"/>
          <w:szCs w:val="20"/>
          <w:highlight w:val="none"/>
          <w:u w:val="none"/>
          <w:lang w:val="en-US" w:eastAsia="zh-CN"/>
        </w:rPr>
        <w:t>The power configuration for each band should be discussed first. In the WF, two power configuration are mentioned as below:</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4"/>
        <w:gridCol w:w="2610"/>
        <w:gridCol w:w="2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304" w:type="dxa"/>
            <w:vAlign w:val="center"/>
          </w:tcPr>
          <w:p>
            <w:pPr>
              <w:keepNext/>
              <w:keepLines/>
              <w:pageBreakBefore w:val="0"/>
              <w:suppressLineNumbers w:val="0"/>
              <w:kinsoku/>
              <w:wordWrap/>
              <w:overflowPunct w:val="0"/>
              <w:topLinePunct w:val="0"/>
              <w:autoSpaceDE w:val="0"/>
              <w:autoSpaceDN w:val="0"/>
              <w:bidi w:val="0"/>
              <w:adjustRightInd w:val="0"/>
              <w:snapToGrid/>
              <w:spacing w:before="120" w:beforeAutospacing="0" w:after="0" w:afterAutospacing="0" w:line="280" w:lineRule="atLeast"/>
              <w:ind w:left="0" w:right="0"/>
              <w:jc w:val="center"/>
              <w:textAlignment w:val="baseline"/>
              <w:rPr>
                <w:rFonts w:hint="default" w:asciiTheme="minorHAnsi" w:hAnsiTheme="minorHAnsi" w:cstheme="minorHAnsi"/>
              </w:rPr>
            </w:pPr>
            <w:r>
              <w:rPr>
                <w:rFonts w:hint="default" w:asciiTheme="minorHAnsi" w:hAnsiTheme="minorHAnsi" w:cstheme="minorHAnsi"/>
              </w:rPr>
              <w:t>MSD test configuration</w:t>
            </w:r>
          </w:p>
        </w:tc>
        <w:tc>
          <w:tcPr>
            <w:tcW w:w="2610" w:type="dxa"/>
            <w:vAlign w:val="center"/>
          </w:tcPr>
          <w:p>
            <w:pPr>
              <w:keepNext/>
              <w:keepLines/>
              <w:pageBreakBefore w:val="0"/>
              <w:suppressLineNumbers w:val="0"/>
              <w:kinsoku/>
              <w:wordWrap/>
              <w:overflowPunct w:val="0"/>
              <w:topLinePunct w:val="0"/>
              <w:autoSpaceDE w:val="0"/>
              <w:autoSpaceDN w:val="0"/>
              <w:bidi w:val="0"/>
              <w:adjustRightInd w:val="0"/>
              <w:snapToGrid/>
              <w:spacing w:before="120" w:beforeAutospacing="0" w:after="0" w:afterAutospacing="0" w:line="280" w:lineRule="atLeast"/>
              <w:ind w:left="0" w:right="0"/>
              <w:jc w:val="center"/>
              <w:textAlignment w:val="baseline"/>
              <w:rPr>
                <w:rFonts w:hint="default" w:asciiTheme="minorHAnsi" w:hAnsiTheme="minorHAnsi" w:cstheme="minorHAnsi"/>
              </w:rPr>
            </w:pPr>
            <w:r>
              <w:rPr>
                <w:rFonts w:hint="default" w:asciiTheme="minorHAnsi" w:hAnsiTheme="minorHAnsi" w:cstheme="minorHAnsi"/>
              </w:rPr>
              <w:t>PC3 FDD band</w:t>
            </w:r>
          </w:p>
        </w:tc>
        <w:tc>
          <w:tcPr>
            <w:tcW w:w="2742" w:type="dxa"/>
            <w:vAlign w:val="center"/>
          </w:tcPr>
          <w:p>
            <w:pPr>
              <w:keepNext/>
              <w:keepLines/>
              <w:pageBreakBefore w:val="0"/>
              <w:suppressLineNumbers w:val="0"/>
              <w:kinsoku/>
              <w:wordWrap/>
              <w:overflowPunct w:val="0"/>
              <w:topLinePunct w:val="0"/>
              <w:autoSpaceDE w:val="0"/>
              <w:autoSpaceDN w:val="0"/>
              <w:bidi w:val="0"/>
              <w:adjustRightInd w:val="0"/>
              <w:snapToGrid/>
              <w:spacing w:before="120" w:beforeAutospacing="0" w:after="0" w:afterAutospacing="0" w:line="280" w:lineRule="atLeast"/>
              <w:ind w:left="0" w:right="0"/>
              <w:jc w:val="center"/>
              <w:textAlignment w:val="baseline"/>
              <w:rPr>
                <w:rFonts w:hint="default" w:asciiTheme="minorHAnsi" w:hAnsiTheme="minorHAnsi" w:cstheme="minorHAnsi"/>
              </w:rPr>
            </w:pPr>
            <w:r>
              <w:rPr>
                <w:rFonts w:hint="default" w:asciiTheme="minorHAnsi" w:hAnsiTheme="minorHAnsi" w:cstheme="minorHAnsi"/>
              </w:rPr>
              <w:t>PC1.5 TDD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304" w:type="dxa"/>
            <w:vAlign w:val="center"/>
          </w:tcPr>
          <w:p>
            <w:pPr>
              <w:keepNext/>
              <w:keepLines/>
              <w:pageBreakBefore w:val="0"/>
              <w:suppressLineNumbers w:val="0"/>
              <w:kinsoku/>
              <w:wordWrap/>
              <w:overflowPunct w:val="0"/>
              <w:topLinePunct w:val="0"/>
              <w:autoSpaceDE w:val="0"/>
              <w:autoSpaceDN w:val="0"/>
              <w:bidi w:val="0"/>
              <w:adjustRightInd w:val="0"/>
              <w:snapToGrid/>
              <w:spacing w:before="120" w:beforeAutospacing="0" w:after="0" w:afterAutospacing="0" w:line="280" w:lineRule="atLeast"/>
              <w:ind w:left="0" w:right="0"/>
              <w:jc w:val="center"/>
              <w:textAlignment w:val="baseline"/>
              <w:rPr>
                <w:rFonts w:hint="default" w:asciiTheme="minorHAnsi" w:hAnsiTheme="minorHAnsi" w:cstheme="minorHAnsi"/>
              </w:rPr>
            </w:pPr>
            <w:r>
              <w:rPr>
                <w:rFonts w:hint="default" w:asciiTheme="minorHAnsi" w:hAnsiTheme="minorHAnsi" w:cstheme="minorHAnsi"/>
              </w:rPr>
              <w:t>Option 1</w:t>
            </w:r>
          </w:p>
        </w:tc>
        <w:tc>
          <w:tcPr>
            <w:tcW w:w="2610" w:type="dxa"/>
            <w:vAlign w:val="center"/>
          </w:tcPr>
          <w:p>
            <w:pPr>
              <w:keepNext/>
              <w:keepLines/>
              <w:pageBreakBefore w:val="0"/>
              <w:suppressLineNumbers w:val="0"/>
              <w:kinsoku/>
              <w:wordWrap/>
              <w:overflowPunct w:val="0"/>
              <w:topLinePunct w:val="0"/>
              <w:autoSpaceDE w:val="0"/>
              <w:autoSpaceDN w:val="0"/>
              <w:bidi w:val="0"/>
              <w:adjustRightInd w:val="0"/>
              <w:snapToGrid/>
              <w:spacing w:before="120" w:beforeAutospacing="0" w:after="0" w:afterAutospacing="0" w:line="280" w:lineRule="atLeast"/>
              <w:ind w:left="0" w:right="0"/>
              <w:jc w:val="center"/>
              <w:textAlignment w:val="baseline"/>
              <w:rPr>
                <w:rFonts w:hint="default" w:asciiTheme="minorHAnsi" w:hAnsiTheme="minorHAnsi" w:cstheme="minorHAnsi"/>
              </w:rPr>
            </w:pPr>
            <w:r>
              <w:rPr>
                <w:rFonts w:hint="default" w:asciiTheme="minorHAnsi" w:hAnsiTheme="minorHAnsi" w:cstheme="minorHAnsi"/>
              </w:rPr>
              <w:t>23 dBm</w:t>
            </w:r>
          </w:p>
        </w:tc>
        <w:tc>
          <w:tcPr>
            <w:tcW w:w="2742" w:type="dxa"/>
            <w:vAlign w:val="center"/>
          </w:tcPr>
          <w:p>
            <w:pPr>
              <w:keepNext/>
              <w:keepLines/>
              <w:pageBreakBefore w:val="0"/>
              <w:suppressLineNumbers w:val="0"/>
              <w:kinsoku/>
              <w:wordWrap/>
              <w:overflowPunct w:val="0"/>
              <w:topLinePunct w:val="0"/>
              <w:autoSpaceDE w:val="0"/>
              <w:autoSpaceDN w:val="0"/>
              <w:bidi w:val="0"/>
              <w:adjustRightInd w:val="0"/>
              <w:snapToGrid/>
              <w:spacing w:before="120" w:beforeAutospacing="0" w:after="0" w:afterAutospacing="0" w:line="280" w:lineRule="atLeast"/>
              <w:ind w:left="0" w:right="0"/>
              <w:jc w:val="center"/>
              <w:textAlignment w:val="baseline"/>
              <w:rPr>
                <w:rFonts w:hint="default" w:asciiTheme="minorHAnsi" w:hAnsiTheme="minorHAnsi" w:cstheme="minorHAnsi"/>
              </w:rPr>
            </w:pPr>
            <w:r>
              <w:rPr>
                <w:rFonts w:hint="default" w:asciiTheme="minorHAnsi" w:hAnsiTheme="minorHAnsi" w:cstheme="minorHAnsi"/>
              </w:rPr>
              <w:t>27.8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304" w:type="dxa"/>
            <w:vAlign w:val="center"/>
          </w:tcPr>
          <w:p>
            <w:pPr>
              <w:keepNext/>
              <w:keepLines/>
              <w:pageBreakBefore w:val="0"/>
              <w:suppressLineNumbers w:val="0"/>
              <w:kinsoku/>
              <w:wordWrap/>
              <w:overflowPunct w:val="0"/>
              <w:topLinePunct w:val="0"/>
              <w:autoSpaceDE w:val="0"/>
              <w:autoSpaceDN w:val="0"/>
              <w:bidi w:val="0"/>
              <w:adjustRightInd w:val="0"/>
              <w:snapToGrid/>
              <w:spacing w:before="120" w:beforeAutospacing="0" w:after="0" w:afterAutospacing="0" w:line="280" w:lineRule="atLeast"/>
              <w:ind w:left="0" w:right="0"/>
              <w:jc w:val="center"/>
              <w:textAlignment w:val="baseline"/>
              <w:rPr>
                <w:rFonts w:hint="default" w:asciiTheme="minorHAnsi" w:hAnsiTheme="minorHAnsi" w:cstheme="minorHAnsi"/>
              </w:rPr>
            </w:pPr>
            <w:r>
              <w:rPr>
                <w:rFonts w:hint="default" w:asciiTheme="minorHAnsi" w:hAnsiTheme="minorHAnsi" w:cstheme="minorHAnsi"/>
              </w:rPr>
              <w:t>Option 2</w:t>
            </w:r>
          </w:p>
        </w:tc>
        <w:tc>
          <w:tcPr>
            <w:tcW w:w="2610" w:type="dxa"/>
            <w:vAlign w:val="center"/>
          </w:tcPr>
          <w:p>
            <w:pPr>
              <w:keepNext/>
              <w:keepLines/>
              <w:pageBreakBefore w:val="0"/>
              <w:suppressLineNumbers w:val="0"/>
              <w:kinsoku/>
              <w:wordWrap/>
              <w:overflowPunct w:val="0"/>
              <w:topLinePunct w:val="0"/>
              <w:autoSpaceDE w:val="0"/>
              <w:autoSpaceDN w:val="0"/>
              <w:bidi w:val="0"/>
              <w:adjustRightInd w:val="0"/>
              <w:snapToGrid/>
              <w:spacing w:before="120" w:beforeAutospacing="0" w:after="0" w:afterAutospacing="0" w:line="280" w:lineRule="atLeast"/>
              <w:ind w:left="0" w:right="0"/>
              <w:jc w:val="center"/>
              <w:textAlignment w:val="baseline"/>
              <w:rPr>
                <w:rFonts w:hint="default" w:asciiTheme="minorHAnsi" w:hAnsiTheme="minorHAnsi" w:cstheme="minorHAnsi"/>
              </w:rPr>
            </w:pPr>
            <w:r>
              <w:rPr>
                <w:rFonts w:hint="default" w:asciiTheme="minorHAnsi" w:hAnsiTheme="minorHAnsi" w:cstheme="minorHAnsi"/>
              </w:rPr>
              <w:t>23 dBm</w:t>
            </w:r>
          </w:p>
        </w:tc>
        <w:tc>
          <w:tcPr>
            <w:tcW w:w="2742" w:type="dxa"/>
            <w:vAlign w:val="center"/>
          </w:tcPr>
          <w:p>
            <w:pPr>
              <w:keepNext/>
              <w:keepLines/>
              <w:pageBreakBefore w:val="0"/>
              <w:suppressLineNumbers w:val="0"/>
              <w:kinsoku/>
              <w:wordWrap/>
              <w:overflowPunct w:val="0"/>
              <w:topLinePunct w:val="0"/>
              <w:autoSpaceDE w:val="0"/>
              <w:autoSpaceDN w:val="0"/>
              <w:bidi w:val="0"/>
              <w:adjustRightInd w:val="0"/>
              <w:snapToGrid/>
              <w:spacing w:before="120" w:beforeAutospacing="0" w:after="0" w:afterAutospacing="0" w:line="280" w:lineRule="atLeast"/>
              <w:ind w:left="0" w:right="0"/>
              <w:jc w:val="center"/>
              <w:textAlignment w:val="baseline"/>
              <w:rPr>
                <w:rFonts w:hint="default" w:asciiTheme="minorHAnsi" w:hAnsiTheme="minorHAnsi" w:cstheme="minorHAnsi"/>
              </w:rPr>
            </w:pPr>
            <w:r>
              <w:rPr>
                <w:rFonts w:hint="default" w:asciiTheme="minorHAnsi" w:hAnsiTheme="minorHAnsi" w:cstheme="minorHAnsi"/>
              </w:rPr>
              <w:t>[23] dBm</w:t>
            </w:r>
          </w:p>
        </w:tc>
      </w:tr>
    </w:tbl>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s="Times New Roman"/>
          <w:b w:val="0"/>
          <w:bCs w:val="0"/>
          <w:i w:val="0"/>
          <w:iCs w:val="0"/>
          <w:color w:val="auto"/>
          <w:kern w:val="0"/>
          <w:sz w:val="20"/>
          <w:szCs w:val="20"/>
          <w:highlight w:val="none"/>
          <w:u w:val="none"/>
          <w:lang w:val="en-US" w:eastAsia="zh-CN"/>
        </w:rPr>
      </w:pPr>
      <w:bookmarkStart w:id="30" w:name="OLE_LINK40"/>
      <w:r>
        <w:rPr>
          <w:rFonts w:hint="eastAsia" w:cs="Times New Roman"/>
          <w:b w:val="0"/>
          <w:bCs w:val="0"/>
          <w:i w:val="0"/>
          <w:iCs w:val="0"/>
          <w:color w:val="auto"/>
          <w:kern w:val="0"/>
          <w:sz w:val="20"/>
          <w:szCs w:val="20"/>
          <w:highlight w:val="none"/>
          <w:u w:val="none"/>
          <w:lang w:val="en-US" w:eastAsia="zh-CN"/>
        </w:rPr>
        <w:t xml:space="preserve">In option 1, </w:t>
      </w:r>
      <w:bookmarkEnd w:id="30"/>
      <w:r>
        <w:rPr>
          <w:rFonts w:hint="eastAsia" w:cs="Times New Roman"/>
          <w:b w:val="0"/>
          <w:bCs w:val="0"/>
          <w:i w:val="0"/>
          <w:iCs w:val="0"/>
          <w:color w:val="auto"/>
          <w:kern w:val="0"/>
          <w:sz w:val="20"/>
          <w:szCs w:val="20"/>
          <w:highlight w:val="none"/>
          <w:u w:val="none"/>
          <w:lang w:val="en-US" w:eastAsia="zh-CN"/>
        </w:rPr>
        <w:t xml:space="preserve">it seems 27.8dBm would be that the UE </w:t>
      </w:r>
      <w:bookmarkStart w:id="31" w:name="OLE_LINK2"/>
      <w:r>
        <w:rPr>
          <w:rFonts w:hint="eastAsia" w:cs="Times New Roman"/>
          <w:b w:val="0"/>
          <w:bCs w:val="0"/>
          <w:i w:val="0"/>
          <w:iCs w:val="0"/>
          <w:color w:val="auto"/>
          <w:kern w:val="0"/>
          <w:sz w:val="20"/>
          <w:szCs w:val="20"/>
          <w:highlight w:val="none"/>
          <w:u w:val="none"/>
          <w:lang w:val="en-US" w:eastAsia="zh-CN"/>
        </w:rPr>
        <w:t>highpower limit capability</w:t>
      </w:r>
      <w:bookmarkEnd w:id="31"/>
      <w:r>
        <w:rPr>
          <w:rFonts w:hint="eastAsia" w:cs="Times New Roman"/>
          <w:b w:val="0"/>
          <w:bCs w:val="0"/>
          <w:i w:val="0"/>
          <w:iCs w:val="0"/>
          <w:color w:val="auto"/>
          <w:kern w:val="0"/>
          <w:sz w:val="20"/>
          <w:szCs w:val="20"/>
          <w:highlight w:val="none"/>
          <w:u w:val="none"/>
          <w:lang w:val="en-US" w:eastAsia="zh-CN"/>
        </w:rPr>
        <w:t xml:space="preserve"> is reported since it is not valid configured power without highpower limit capability reporting. In option 2, 23+23dBm cannot be up to 29dBm so it seems a bit weird for this test configuration.</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s="Times New Roman"/>
          <w:b w:val="0"/>
          <w:bCs w:val="0"/>
          <w:i w:val="0"/>
          <w:iCs w:val="0"/>
          <w:color w:val="auto"/>
          <w:kern w:val="0"/>
          <w:sz w:val="20"/>
          <w:szCs w:val="20"/>
          <w:highlight w:val="none"/>
          <w:u w:val="none"/>
          <w:lang w:val="en-US" w:eastAsia="zh-CN" w:bidi="ar-SA"/>
        </w:rPr>
      </w:pPr>
      <w:r>
        <w:rPr>
          <w:rFonts w:hint="eastAsia" w:cs="Times New Roman"/>
          <w:b w:val="0"/>
          <w:bCs w:val="0"/>
          <w:i w:val="0"/>
          <w:iCs w:val="0"/>
          <w:color w:val="auto"/>
          <w:kern w:val="0"/>
          <w:sz w:val="20"/>
          <w:szCs w:val="20"/>
          <w:highlight w:val="none"/>
          <w:u w:val="none"/>
          <w:lang w:val="en-US" w:eastAsia="zh-CN"/>
        </w:rPr>
        <w:t xml:space="preserve">Since 2Tx is allocated for the aggressor band, so </w:t>
      </w:r>
      <w:bookmarkStart w:id="32" w:name="OLE_LINK49"/>
      <w:r>
        <w:rPr>
          <w:rFonts w:hint="eastAsia" w:cs="Times New Roman"/>
          <w:b w:val="0"/>
          <w:bCs w:val="0"/>
          <w:i w:val="0"/>
          <w:iCs w:val="0"/>
          <w:color w:val="auto"/>
          <w:kern w:val="0"/>
          <w:sz w:val="20"/>
          <w:szCs w:val="20"/>
          <w:highlight w:val="none"/>
          <w:u w:val="none"/>
          <w:lang w:val="en-US" w:eastAsia="zh-CN"/>
        </w:rPr>
        <w:t>similar issue as PC2, i.e. reverse IMD of aggressor 2Tx band, may need to be considered. Before discussing b</w:t>
      </w:r>
      <w:r>
        <w:rPr>
          <w:rFonts w:hint="eastAsia" w:ascii="Times New Roman" w:hAnsi="Times New Roman" w:eastAsia="宋体" w:cs="Times New Roman"/>
          <w:b w:val="0"/>
          <w:bCs w:val="0"/>
          <w:i w:val="0"/>
          <w:iCs w:val="0"/>
          <w:color w:val="auto"/>
          <w:kern w:val="0"/>
          <w:sz w:val="20"/>
          <w:szCs w:val="20"/>
          <w:highlight w:val="none"/>
          <w:u w:val="none"/>
          <w:lang w:val="en-US" w:eastAsia="zh-CN" w:bidi="ar-SA"/>
        </w:rPr>
        <w:t>and combination specific MSD for the BC</w:t>
      </w:r>
      <w:r>
        <w:rPr>
          <w:rFonts w:hint="eastAsia" w:cs="Times New Roman"/>
          <w:b w:val="0"/>
          <w:bCs w:val="0"/>
          <w:i w:val="0"/>
          <w:iCs w:val="0"/>
          <w:color w:val="auto"/>
          <w:kern w:val="0"/>
          <w:sz w:val="20"/>
          <w:szCs w:val="20"/>
          <w:highlight w:val="none"/>
          <w:u w:val="none"/>
          <w:lang w:val="en-US" w:eastAsia="zh-CN" w:bidi="ar-SA"/>
        </w:rPr>
        <w:t xml:space="preserve">, the </w:t>
      </w:r>
      <w:bookmarkStart w:id="33" w:name="OLE_LINK53"/>
      <w:r>
        <w:rPr>
          <w:rFonts w:hint="eastAsia" w:cs="Times New Roman"/>
          <w:b w:val="0"/>
          <w:bCs w:val="0"/>
          <w:i w:val="0"/>
          <w:iCs w:val="0"/>
          <w:color w:val="auto"/>
          <w:kern w:val="0"/>
          <w:sz w:val="20"/>
          <w:szCs w:val="20"/>
          <w:highlight w:val="none"/>
          <w:u w:val="none"/>
          <w:lang w:val="en-US" w:eastAsia="zh-CN" w:bidi="ar-SA"/>
        </w:rPr>
        <w:t>test configurations for for the constituted bands in PC1.5 3Tx should be discussed first.</w:t>
      </w:r>
      <w:bookmarkEnd w:id="33"/>
    </w:p>
    <w:bookmarkEnd w:id="32"/>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b/>
          <w:bCs w:val="0"/>
          <w:i/>
          <w:iCs/>
          <w:color w:val="auto"/>
          <w:kern w:val="0"/>
          <w:sz w:val="20"/>
          <w:szCs w:val="20"/>
          <w:highlight w:val="none"/>
          <w:lang w:val="en-US" w:eastAsia="zh-CN"/>
        </w:rPr>
      </w:pPr>
      <w:bookmarkStart w:id="34" w:name="OLE_LINK1"/>
      <w:r>
        <w:rPr>
          <w:rFonts w:hint="eastAsia"/>
          <w:b/>
          <w:bCs w:val="0"/>
          <w:i/>
          <w:iCs/>
          <w:color w:val="auto"/>
          <w:kern w:val="0"/>
          <w:sz w:val="20"/>
          <w:szCs w:val="20"/>
          <w:highlight w:val="none"/>
          <w:lang w:val="en-US" w:eastAsia="zh-CN"/>
        </w:rPr>
        <w:t xml:space="preserve">Observation 3. Similar issue as PC2, i.e. reverse IMD of aggressor 2Tx band, may need to be considered.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val="0"/>
          <w:i/>
          <w:iCs/>
          <w:color w:val="auto"/>
          <w:kern w:val="0"/>
          <w:sz w:val="20"/>
          <w:szCs w:val="20"/>
          <w:highlight w:val="none"/>
          <w:lang w:val="en-US" w:eastAsia="zh-CN"/>
        </w:rPr>
      </w:pPr>
      <w:r>
        <w:rPr>
          <w:rFonts w:hint="eastAsia"/>
          <w:b/>
          <w:bCs w:val="0"/>
          <w:i/>
          <w:iCs/>
          <w:color w:val="auto"/>
          <w:kern w:val="0"/>
          <w:sz w:val="20"/>
          <w:szCs w:val="20"/>
          <w:highlight w:val="none"/>
          <w:lang w:val="en-US" w:eastAsia="zh-CN"/>
        </w:rPr>
        <w:t xml:space="preserve">Proposal 3: Test configurations </w:t>
      </w:r>
      <w:bookmarkStart w:id="35" w:name="OLE_LINK6"/>
      <w:r>
        <w:rPr>
          <w:rFonts w:hint="eastAsia"/>
          <w:b/>
          <w:bCs w:val="0"/>
          <w:i/>
          <w:iCs/>
          <w:color w:val="auto"/>
          <w:kern w:val="0"/>
          <w:sz w:val="20"/>
          <w:szCs w:val="20"/>
          <w:highlight w:val="none"/>
          <w:lang w:val="en-US" w:eastAsia="zh-CN"/>
        </w:rPr>
        <w:t>for the constituted bands in</w:t>
      </w:r>
      <w:bookmarkEnd w:id="35"/>
      <w:r>
        <w:rPr>
          <w:rFonts w:hint="eastAsia"/>
          <w:b/>
          <w:bCs w:val="0"/>
          <w:i/>
          <w:iCs/>
          <w:color w:val="auto"/>
          <w:kern w:val="0"/>
          <w:sz w:val="20"/>
          <w:szCs w:val="20"/>
          <w:highlight w:val="none"/>
          <w:lang w:val="en-US" w:eastAsia="zh-CN"/>
        </w:rPr>
        <w:t xml:space="preserve"> PC1.5 3Tx BC should be discussed first.</w:t>
      </w:r>
    </w:p>
    <w:bookmarkEnd w:id="3"/>
    <w:bookmarkEnd w:id="4"/>
    <w:bookmarkEnd w:id="5"/>
    <w:bookmarkEnd w:id="6"/>
    <w:bookmarkEnd w:id="7"/>
    <w:bookmarkEnd w:id="34"/>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color w:val="auto"/>
          <w:kern w:val="0"/>
          <w:sz w:val="20"/>
          <w:szCs w:val="20"/>
          <w:highlight w:val="none"/>
          <w:lang w:val="en-US" w:eastAsia="zh-CN" w:bidi="ar-SA"/>
        </w:rPr>
      </w:pPr>
      <w:r>
        <w:rPr>
          <w:rFonts w:hint="eastAsia" w:ascii="Times New Roman" w:hAnsi="Times New Roman" w:eastAsia="宋体" w:cs="Times New Roman"/>
          <w:b w:val="0"/>
          <w:bCs w:val="0"/>
          <w:color w:val="auto"/>
          <w:kern w:val="0"/>
          <w:sz w:val="20"/>
          <w:szCs w:val="20"/>
          <w:highlight w:val="none"/>
          <w:lang w:val="en-US" w:eastAsia="zh-CN" w:bidi="ar-SA"/>
        </w:rPr>
        <w:t xml:space="preserve">In this contribution, we give some </w:t>
      </w:r>
      <w:r>
        <w:rPr>
          <w:rFonts w:hint="eastAsia" w:cs="Times New Roman"/>
          <w:b w:val="0"/>
          <w:bCs w:val="0"/>
          <w:color w:val="auto"/>
          <w:kern w:val="0"/>
          <w:sz w:val="20"/>
          <w:szCs w:val="20"/>
          <w:highlight w:val="none"/>
          <w:lang w:val="en-US" w:eastAsia="zh-CN" w:bidi="ar-SA"/>
        </w:rPr>
        <w:t xml:space="preserve">further </w:t>
      </w:r>
      <w:r>
        <w:rPr>
          <w:rFonts w:hint="eastAsia" w:ascii="Times New Roman" w:hAnsi="Times New Roman" w:eastAsia="宋体" w:cs="Times New Roman"/>
          <w:b w:val="0"/>
          <w:bCs w:val="0"/>
          <w:color w:val="auto"/>
          <w:kern w:val="0"/>
          <w:sz w:val="20"/>
          <w:szCs w:val="20"/>
          <w:highlight w:val="none"/>
          <w:lang w:val="en-US" w:eastAsia="zh-CN" w:bidi="ar-SA"/>
        </w:rPr>
        <w:t xml:space="preserve">discussions on </w:t>
      </w:r>
      <w:r>
        <w:rPr>
          <w:rFonts w:hint="eastAsia" w:eastAsia="宋体"/>
          <w:bCs/>
          <w:color w:val="auto"/>
          <w:kern w:val="0"/>
          <w:sz w:val="20"/>
          <w:szCs w:val="20"/>
          <w:highlight w:val="none"/>
          <w:lang w:val="en-US" w:eastAsia="zh-CN"/>
        </w:rPr>
        <w:t>the</w:t>
      </w:r>
      <w:r>
        <w:rPr>
          <w:rFonts w:hint="eastAsia"/>
          <w:bCs/>
          <w:color w:val="auto"/>
          <w:kern w:val="0"/>
          <w:sz w:val="20"/>
          <w:szCs w:val="20"/>
          <w:highlight w:val="none"/>
          <w:lang w:val="en-US" w:eastAsia="zh-CN"/>
        </w:rPr>
        <w:t xml:space="preserve"> Rx RF requirements for 3Tx inter-band UL CA/ENDC band combination, where one of the constitue</w:t>
      </w:r>
      <w:r>
        <w:rPr>
          <w:rFonts w:hint="eastAsia"/>
          <w:bCs/>
          <w:i w:val="0"/>
          <w:iCs w:val="0"/>
          <w:color w:val="auto"/>
          <w:kern w:val="0"/>
          <w:sz w:val="20"/>
          <w:szCs w:val="20"/>
          <w:highlight w:val="none"/>
          <w:lang w:val="en-US" w:eastAsia="zh-CN"/>
        </w:rPr>
        <w:t xml:space="preserve">nt </w:t>
      </w:r>
      <w:r>
        <w:rPr>
          <w:rFonts w:ascii="Times New Roman" w:hAnsi="Times New Roman" w:eastAsia="等线" w:cs="Times New Roman"/>
          <w:i w:val="0"/>
          <w:iCs w:val="0"/>
          <w:color w:val="auto"/>
          <w:kern w:val="0"/>
          <w:sz w:val="20"/>
          <w:lang w:val="en-GB" w:eastAsia="zh-CN"/>
        </w:rPr>
        <w:t>band support</w:t>
      </w:r>
      <w:r>
        <w:rPr>
          <w:rFonts w:hint="eastAsia" w:eastAsia="等线" w:cs="Times New Roman"/>
          <w:i w:val="0"/>
          <w:iCs w:val="0"/>
          <w:color w:val="auto"/>
          <w:kern w:val="0"/>
          <w:sz w:val="20"/>
          <w:lang w:val="en-US" w:eastAsia="zh-CN"/>
        </w:rPr>
        <w:t>s</w:t>
      </w:r>
      <w:r>
        <w:rPr>
          <w:rFonts w:ascii="Times New Roman" w:hAnsi="Times New Roman" w:eastAsia="等线" w:cs="Times New Roman"/>
          <w:i w:val="0"/>
          <w:iCs w:val="0"/>
          <w:color w:val="auto"/>
          <w:kern w:val="0"/>
          <w:sz w:val="20"/>
          <w:lang w:val="en-GB" w:eastAsia="zh-CN"/>
        </w:rPr>
        <w:t xml:space="preserve"> UL MIMO</w:t>
      </w:r>
      <w:r>
        <w:rPr>
          <w:rFonts w:hint="eastAsia" w:eastAsia="宋体" w:cs="Times New Roman"/>
          <w:b w:val="0"/>
          <w:bCs w:val="0"/>
          <w:color w:val="auto"/>
          <w:kern w:val="0"/>
          <w:sz w:val="20"/>
          <w:szCs w:val="20"/>
          <w:highlight w:val="none"/>
          <w:lang w:val="en-US" w:eastAsia="zh-CN" w:bidi="ar-SA"/>
        </w:rPr>
        <w:t>.</w:t>
      </w:r>
      <w:r>
        <w:rPr>
          <w:rFonts w:hint="eastAsia" w:ascii="Times New Roman" w:hAnsi="Times New Roman" w:eastAsia="宋体" w:cs="Times New Roman"/>
          <w:b w:val="0"/>
          <w:bCs w:val="0"/>
          <w:color w:val="auto"/>
          <w:kern w:val="0"/>
          <w:sz w:val="20"/>
          <w:szCs w:val="20"/>
          <w:highlight w:val="none"/>
          <w:lang w:val="en-US" w:eastAsia="zh-CN" w:bidi="ar-SA"/>
        </w:rPr>
        <w:t xml:space="preserve"> The conclusions are:</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val="0"/>
          <w:i/>
          <w:iCs/>
          <w:color w:val="auto"/>
          <w:kern w:val="0"/>
          <w:sz w:val="20"/>
          <w:szCs w:val="20"/>
          <w:highlight w:val="none"/>
          <w:lang w:val="en-US" w:eastAsia="zh-CN"/>
        </w:rPr>
      </w:pPr>
      <w:r>
        <w:rPr>
          <w:rFonts w:hint="eastAsia"/>
          <w:b/>
          <w:bCs w:val="0"/>
          <w:i/>
          <w:iCs/>
          <w:color w:val="auto"/>
          <w:kern w:val="0"/>
          <w:sz w:val="20"/>
          <w:szCs w:val="20"/>
          <w:highlight w:val="none"/>
          <w:lang w:val="en-US" w:eastAsia="zh-CN"/>
        </w:rPr>
        <w:t>Observation 1. For the same power class in aggressor band, comparing with aggressor 1Tx (26dBm) band, the reverse IMD products of aggressor 2Tx band via PCB path and/or conductive path may cause additional interference on the victim band Rx, which might need some measurements on the impacts.</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b/>
          <w:bCs w:val="0"/>
          <w:i/>
          <w:iCs/>
          <w:color w:val="auto"/>
          <w:kern w:val="0"/>
          <w:sz w:val="20"/>
          <w:szCs w:val="20"/>
          <w:highlight w:val="none"/>
          <w:lang w:val="en-US" w:eastAsia="zh-CN"/>
        </w:rPr>
      </w:pPr>
      <w:r>
        <w:rPr>
          <w:rFonts w:hint="eastAsia"/>
          <w:b/>
          <w:bCs w:val="0"/>
          <w:i/>
          <w:iCs/>
          <w:color w:val="auto"/>
          <w:kern w:val="0"/>
          <w:sz w:val="20"/>
          <w:szCs w:val="20"/>
          <w:highlight w:val="none"/>
          <w:lang w:val="en-US" w:eastAsia="zh-CN"/>
        </w:rPr>
        <w:t>Observation 2. PA output power and PA noise of 26dBm and 23dBm would be different due to the PA design which may cause MSD difference between 1Tx and 2Tx aggressor band.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i/>
          <w:iCs/>
          <w:color w:val="auto"/>
          <w:sz w:val="20"/>
          <w:szCs w:val="20"/>
          <w:lang w:val="en-US" w:eastAsia="zh-CN"/>
        </w:rPr>
      </w:pPr>
      <w:r>
        <w:rPr>
          <w:rFonts w:hint="eastAsia"/>
          <w:b/>
          <w:bCs/>
          <w:i/>
          <w:iCs/>
          <w:color w:val="auto"/>
          <w:sz w:val="20"/>
          <w:szCs w:val="20"/>
          <w:lang w:val="en-US" w:eastAsia="zh-CN"/>
        </w:rPr>
        <w:t>Proposal 1: For measurements purpose, it is proposed to select one or two example band combinations to re-evaluate the MSD value for harmonic mixing, cross band isolation MSD and IMD to see the delta MSD compared to the existing MSD of PC2 band combination.</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i/>
          <w:iCs/>
          <w:color w:val="auto"/>
          <w:sz w:val="20"/>
          <w:szCs w:val="20"/>
          <w:lang w:val="en-US" w:eastAsia="zh-CN"/>
        </w:rPr>
      </w:pPr>
      <w:r>
        <w:rPr>
          <w:rFonts w:hint="eastAsia"/>
          <w:b/>
          <w:bCs/>
          <w:i/>
          <w:iCs/>
          <w:color w:val="auto"/>
          <w:sz w:val="20"/>
          <w:szCs w:val="20"/>
          <w:lang w:val="en-US" w:eastAsia="zh-CN"/>
        </w:rPr>
        <w:t xml:space="preserve">Proposal 2: Same </w:t>
      </w:r>
      <w:r>
        <w:rPr>
          <w:rFonts w:hint="eastAsia" w:ascii="Times New Roman" w:hAnsi="Times New Roman" w:cs="Times New Roman"/>
          <w:b/>
          <w:bCs/>
          <w:i/>
          <w:iCs/>
          <w:color w:val="auto"/>
          <w:kern w:val="2"/>
          <w:sz w:val="20"/>
          <w:szCs w:val="20"/>
        </w:rPr>
        <w:t>uplink/downlink configurations</w:t>
      </w:r>
      <w:r>
        <w:rPr>
          <w:rFonts w:hint="eastAsia" w:cs="Times New Roman"/>
          <w:b/>
          <w:bCs/>
          <w:i/>
          <w:iCs/>
          <w:color w:val="auto"/>
          <w:kern w:val="2"/>
          <w:sz w:val="20"/>
          <w:szCs w:val="20"/>
          <w:lang w:val="en-US" w:eastAsia="zh-CN"/>
        </w:rPr>
        <w:t xml:space="preserve"> of the existing PC2 band combination are for concurrent 3Tx PC2 band combination.</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ascii="Times New Roman" w:hAnsi="Times New Roman" w:cs="Times New Roman"/>
          <w:b/>
          <w:bCs/>
          <w:i/>
          <w:iCs/>
          <w:color w:val="auto"/>
          <w:kern w:val="2"/>
          <w:sz w:val="20"/>
          <w:szCs w:val="20"/>
          <w:lang w:val="en-US" w:eastAsia="zh-CN"/>
        </w:rPr>
      </w:pPr>
      <w:r>
        <w:rPr>
          <w:rFonts w:hint="eastAsia" w:ascii="Times New Roman" w:hAnsi="Times New Roman" w:cs="Times New Roman"/>
          <w:b/>
          <w:bCs/>
          <w:i/>
          <w:iCs/>
          <w:color w:val="auto"/>
          <w:kern w:val="2"/>
          <w:sz w:val="20"/>
          <w:szCs w:val="20"/>
          <w:lang w:val="en-US" w:eastAsia="zh-CN"/>
        </w:rPr>
        <w:t xml:space="preserve">Observation 3. Similar issue as PC2, i.e. reverse IMD of aggressor 2Tx band, may need to be considered.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ascii="Times New Roman" w:hAnsi="Times New Roman" w:eastAsia="宋体" w:cs="Times New Roman"/>
          <w:b w:val="0"/>
          <w:bCs w:val="0"/>
          <w:color w:val="auto"/>
          <w:kern w:val="0"/>
          <w:sz w:val="20"/>
          <w:szCs w:val="20"/>
          <w:highlight w:val="none"/>
          <w:lang w:val="en-US" w:eastAsia="zh-CN" w:bidi="ar-SA"/>
        </w:rPr>
      </w:pPr>
      <w:r>
        <w:rPr>
          <w:rFonts w:hint="eastAsia" w:ascii="Times New Roman" w:hAnsi="Times New Roman" w:cs="Times New Roman"/>
          <w:b/>
          <w:bCs/>
          <w:i/>
          <w:iCs/>
          <w:color w:val="auto"/>
          <w:kern w:val="2"/>
          <w:sz w:val="20"/>
          <w:szCs w:val="20"/>
          <w:lang w:val="en-US" w:eastAsia="zh-CN"/>
        </w:rPr>
        <w:t>Proposal 3: Test configurations for the constituted bands in PC1.5 3Tx BC should be discussed first.</w:t>
      </w:r>
    </w:p>
    <w:p>
      <w:pPr>
        <w:keepNext/>
        <w:keepLines/>
        <w:pageBreakBefore w:val="0"/>
        <w:widowControl/>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color w:val="auto"/>
          <w:kern w:val="0"/>
          <w:sz w:val="20"/>
          <w:szCs w:val="20"/>
          <w:highlight w:val="none"/>
          <w:lang w:val="en-US" w:eastAsia="zh-CN" w:bidi="ar-SA"/>
        </w:rPr>
      </w:pPr>
    </w:p>
    <w:p>
      <w:pPr>
        <w:keepNext/>
        <w:keepLines/>
        <w:pageBreakBefore w:val="0"/>
        <w:widowControl/>
        <w:pBdr>
          <w:top w:val="single" w:color="auto" w:sz="12" w:space="3"/>
        </w:pBdr>
        <w:kinsoku/>
        <w:wordWrap/>
        <w:topLinePunct w:val="0"/>
        <w:bidi w:val="0"/>
        <w:snapToGrid/>
        <w:spacing w:beforeLines="0" w:after="120" w:afterLines="0"/>
        <w:jc w:val="left"/>
        <w:outlineLvl w:val="0"/>
        <w:rPr>
          <w:b/>
          <w:color w:val="auto"/>
          <w:kern w:val="0"/>
          <w:sz w:val="24"/>
          <w:szCs w:val="24"/>
          <w:highlight w:val="none"/>
        </w:rPr>
      </w:pPr>
      <w:r>
        <w:rPr>
          <w:b/>
          <w:color w:val="auto"/>
          <w:kern w:val="0"/>
          <w:sz w:val="24"/>
          <w:szCs w:val="24"/>
          <w:highlight w:val="none"/>
        </w:rPr>
        <w:t>4</w:t>
      </w:r>
      <w:r>
        <w:rPr>
          <w:b/>
          <w:color w:val="auto"/>
          <w:kern w:val="0"/>
          <w:sz w:val="24"/>
          <w:szCs w:val="24"/>
          <w:highlight w:val="none"/>
        </w:rPr>
        <w:tab/>
      </w:r>
      <w:r>
        <w:rPr>
          <w:b/>
          <w:color w:val="auto"/>
          <w:kern w:val="0"/>
          <w:sz w:val="24"/>
          <w:szCs w:val="24"/>
          <w:highlight w:val="none"/>
        </w:rPr>
        <w:t>Reference</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120" w:beforeLines="0" w:after="120" w:afterLines="0" w:line="260" w:lineRule="auto"/>
        <w:jc w:val="left"/>
        <w:textAlignment w:val="auto"/>
        <w:rPr>
          <w:rFonts w:hint="default"/>
          <w:color w:val="auto"/>
          <w:sz w:val="20"/>
          <w:szCs w:val="20"/>
          <w:lang w:val="en-US" w:eastAsia="zh-CN"/>
        </w:rPr>
      </w:pPr>
      <w:r>
        <w:rPr>
          <w:rFonts w:hint="eastAsia"/>
          <w:color w:val="auto"/>
          <w:sz w:val="20"/>
          <w:szCs w:val="20"/>
          <w:lang w:val="en-US" w:eastAsia="zh-CN"/>
        </w:rPr>
        <w:t xml:space="preserve">[1] </w:t>
      </w:r>
      <w:r>
        <w:rPr>
          <w:rFonts w:hint="eastAsia"/>
          <w:color w:val="auto"/>
          <w:sz w:val="20"/>
          <w:szCs w:val="20"/>
          <w:lang w:val="pt-BR" w:eastAsia="zh-CN"/>
        </w:rPr>
        <w:t>R4-2306555</w:t>
      </w:r>
      <w:r>
        <w:rPr>
          <w:rFonts w:hint="eastAsia"/>
          <w:color w:val="auto"/>
          <w:sz w:val="20"/>
          <w:szCs w:val="20"/>
          <w:lang w:val="en-US" w:eastAsia="zh-CN"/>
        </w:rPr>
        <w:t xml:space="preserve">  </w:t>
      </w:r>
      <w:r>
        <w:rPr>
          <w:rFonts w:hint="eastAsia"/>
          <w:color w:val="auto"/>
          <w:sz w:val="20"/>
          <w:szCs w:val="20"/>
          <w:lang w:val="pt-BR" w:eastAsia="zh-CN"/>
        </w:rPr>
        <w:t>WF on Rx requirements for 3Tx UE</w:t>
      </w:r>
      <w:r>
        <w:rPr>
          <w:rFonts w:hint="eastAsia"/>
          <w:color w:val="auto"/>
          <w:sz w:val="20"/>
          <w:szCs w:val="20"/>
          <w:lang w:val="en-US" w:eastAsia="zh-CN"/>
        </w:rPr>
        <w:t>, Apple</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color w:val="auto"/>
          <w:sz w:val="20"/>
          <w:szCs w:val="20"/>
          <w:lang w:val="en-US" w:eastAsia="zh-CN"/>
        </w:rPr>
      </w:pPr>
      <w:r>
        <w:rPr>
          <w:rFonts w:hint="eastAsia"/>
          <w:color w:val="auto"/>
          <w:sz w:val="20"/>
          <w:szCs w:val="20"/>
          <w:lang w:val="en-US" w:eastAsia="zh-CN"/>
        </w:rPr>
        <w:t xml:space="preserve">[2] </w:t>
      </w:r>
      <w:r>
        <w:rPr>
          <w:rFonts w:hint="eastAsia"/>
          <w:color w:val="auto"/>
          <w:sz w:val="20"/>
          <w:szCs w:val="20"/>
          <w:lang w:val="pt-BR" w:eastAsia="zh-CN"/>
        </w:rPr>
        <w:fldChar w:fldCharType="begin"/>
      </w:r>
      <w:r>
        <w:rPr>
          <w:rFonts w:hint="eastAsia"/>
          <w:color w:val="auto"/>
          <w:sz w:val="20"/>
          <w:szCs w:val="20"/>
          <w:lang w:val="pt-BR" w:eastAsia="zh-CN"/>
        </w:rPr>
        <w:instrText xml:space="preserve"> HYPERLINK "https://www.3gpp.org/ftp/tsg_ran/WG4_Radio/TSGR4_106bis-e/Docs/R4-2306192.zip" </w:instrText>
      </w:r>
      <w:r>
        <w:rPr>
          <w:rFonts w:hint="eastAsia"/>
          <w:color w:val="auto"/>
          <w:sz w:val="20"/>
          <w:szCs w:val="20"/>
          <w:lang w:val="pt-BR" w:eastAsia="zh-CN"/>
        </w:rPr>
        <w:fldChar w:fldCharType="separate"/>
      </w:r>
      <w:r>
        <w:rPr>
          <w:rFonts w:hint="eastAsia"/>
          <w:color w:val="auto"/>
          <w:sz w:val="20"/>
          <w:szCs w:val="20"/>
          <w:lang w:val="pt-BR" w:eastAsia="zh-CN"/>
        </w:rPr>
        <w:t>R4-2306275</w:t>
      </w:r>
      <w:r>
        <w:rPr>
          <w:rFonts w:hint="eastAsia"/>
          <w:color w:val="auto"/>
          <w:sz w:val="20"/>
          <w:szCs w:val="20"/>
          <w:lang w:val="pt-BR" w:eastAsia="zh-CN"/>
        </w:rPr>
        <w:fldChar w:fldCharType="end"/>
      </w:r>
      <w:r>
        <w:rPr>
          <w:rFonts w:hint="eastAsia"/>
          <w:color w:val="auto"/>
          <w:sz w:val="20"/>
          <w:szCs w:val="20"/>
          <w:lang w:val="en-US" w:eastAsia="zh-CN"/>
        </w:rPr>
        <w:t xml:space="preserve">  </w:t>
      </w:r>
      <w:r>
        <w:rPr>
          <w:rFonts w:hint="eastAsia"/>
          <w:color w:val="auto"/>
          <w:sz w:val="20"/>
          <w:szCs w:val="20"/>
          <w:lang w:val="pt-BR" w:eastAsia="zh-CN"/>
        </w:rPr>
        <w:t>Topic summary for [106-bis-e][112] NR_3Tx-4Rx_WI</w:t>
      </w:r>
      <w:r>
        <w:rPr>
          <w:rFonts w:hint="eastAsia"/>
          <w:color w:val="auto"/>
          <w:sz w:val="20"/>
          <w:szCs w:val="20"/>
          <w:lang w:val="en-US" w:eastAsia="zh-CN"/>
        </w:rPr>
        <w:t>, Moderator(OPPO)</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color w:val="auto"/>
          <w:sz w:val="20"/>
          <w:szCs w:val="20"/>
          <w:lang w:val="en-US" w:eastAsia="zh-CN"/>
        </w:rPr>
      </w:pPr>
      <w:r>
        <w:rPr>
          <w:rFonts w:hint="eastAsia"/>
          <w:color w:val="auto"/>
          <w:sz w:val="20"/>
          <w:szCs w:val="20"/>
          <w:lang w:val="en-US" w:eastAsia="zh-CN"/>
        </w:rPr>
        <w:t xml:space="preserve">[3] </w:t>
      </w:r>
      <w:r>
        <w:rPr>
          <w:rFonts w:hint="default"/>
          <w:color w:val="auto"/>
          <w:sz w:val="20"/>
          <w:szCs w:val="20"/>
          <w:lang w:val="en-US" w:eastAsia="zh-CN"/>
        </w:rPr>
        <w:t>R4-2305135</w:t>
      </w:r>
      <w:r>
        <w:rPr>
          <w:rFonts w:hint="eastAsia"/>
          <w:color w:val="auto"/>
          <w:sz w:val="20"/>
          <w:szCs w:val="20"/>
          <w:lang w:val="en-US" w:eastAsia="zh-CN"/>
        </w:rPr>
        <w:t xml:space="preserve">  </w:t>
      </w:r>
      <w:r>
        <w:rPr>
          <w:rFonts w:hint="default"/>
          <w:color w:val="auto"/>
          <w:sz w:val="20"/>
          <w:szCs w:val="20"/>
          <w:lang w:val="en-US" w:eastAsia="zh-CN"/>
        </w:rPr>
        <w:t>Further discussion on 4Rx low band for handheld UE</w:t>
      </w:r>
      <w:r>
        <w:rPr>
          <w:rFonts w:hint="eastAsia"/>
          <w:color w:val="auto"/>
          <w:sz w:val="20"/>
          <w:szCs w:val="20"/>
          <w:lang w:val="en-US" w:eastAsia="zh-CN"/>
        </w:rPr>
        <w:t>, ZTE</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B6CA8"/>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8"/>
    <w:rsid w:val="00FB6239"/>
    <w:rsid w:val="00FB7CA4"/>
    <w:rsid w:val="00FC3509"/>
    <w:rsid w:val="00FD026F"/>
    <w:rsid w:val="00FD0720"/>
    <w:rsid w:val="00FD5FC4"/>
    <w:rsid w:val="00FE4F39"/>
    <w:rsid w:val="00FF10BD"/>
    <w:rsid w:val="01017306"/>
    <w:rsid w:val="01101B26"/>
    <w:rsid w:val="011A0B49"/>
    <w:rsid w:val="01284380"/>
    <w:rsid w:val="014A0623"/>
    <w:rsid w:val="01536583"/>
    <w:rsid w:val="01764F01"/>
    <w:rsid w:val="018107C9"/>
    <w:rsid w:val="01854FE9"/>
    <w:rsid w:val="01880679"/>
    <w:rsid w:val="018E207B"/>
    <w:rsid w:val="0190283E"/>
    <w:rsid w:val="019A06A5"/>
    <w:rsid w:val="019C544F"/>
    <w:rsid w:val="019D155B"/>
    <w:rsid w:val="01A428BB"/>
    <w:rsid w:val="01AE307F"/>
    <w:rsid w:val="01B35169"/>
    <w:rsid w:val="01C00B7B"/>
    <w:rsid w:val="01C31340"/>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A5964"/>
    <w:rsid w:val="024B023C"/>
    <w:rsid w:val="024D6B6A"/>
    <w:rsid w:val="02510B5E"/>
    <w:rsid w:val="02526CFD"/>
    <w:rsid w:val="02566C17"/>
    <w:rsid w:val="025C4BEF"/>
    <w:rsid w:val="02655431"/>
    <w:rsid w:val="027275A1"/>
    <w:rsid w:val="027371D9"/>
    <w:rsid w:val="0275183C"/>
    <w:rsid w:val="0276366F"/>
    <w:rsid w:val="027F646E"/>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87492"/>
    <w:rsid w:val="031E429F"/>
    <w:rsid w:val="032F336F"/>
    <w:rsid w:val="03317AD0"/>
    <w:rsid w:val="033C68CE"/>
    <w:rsid w:val="033F734A"/>
    <w:rsid w:val="03445E8F"/>
    <w:rsid w:val="03496C64"/>
    <w:rsid w:val="034E067A"/>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3FB7155"/>
    <w:rsid w:val="04030035"/>
    <w:rsid w:val="04096E99"/>
    <w:rsid w:val="04251A4C"/>
    <w:rsid w:val="042D2E97"/>
    <w:rsid w:val="04305EA0"/>
    <w:rsid w:val="04310833"/>
    <w:rsid w:val="04343921"/>
    <w:rsid w:val="043865BF"/>
    <w:rsid w:val="043A14AD"/>
    <w:rsid w:val="04403052"/>
    <w:rsid w:val="044C78D8"/>
    <w:rsid w:val="04537B11"/>
    <w:rsid w:val="04684A28"/>
    <w:rsid w:val="046C0EAE"/>
    <w:rsid w:val="04782230"/>
    <w:rsid w:val="0479507E"/>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22500E"/>
    <w:rsid w:val="052E568F"/>
    <w:rsid w:val="053973F0"/>
    <w:rsid w:val="053A3222"/>
    <w:rsid w:val="053E65E7"/>
    <w:rsid w:val="0555228E"/>
    <w:rsid w:val="05636085"/>
    <w:rsid w:val="057D1D66"/>
    <w:rsid w:val="059D265F"/>
    <w:rsid w:val="059E1515"/>
    <w:rsid w:val="05B92EC1"/>
    <w:rsid w:val="05E078B3"/>
    <w:rsid w:val="05E942A3"/>
    <w:rsid w:val="05EA759F"/>
    <w:rsid w:val="05EE6827"/>
    <w:rsid w:val="0601277E"/>
    <w:rsid w:val="060C5AED"/>
    <w:rsid w:val="06103146"/>
    <w:rsid w:val="06172561"/>
    <w:rsid w:val="061E54DA"/>
    <w:rsid w:val="061E5E22"/>
    <w:rsid w:val="062B2FCF"/>
    <w:rsid w:val="063F63E4"/>
    <w:rsid w:val="06460B91"/>
    <w:rsid w:val="06476ED2"/>
    <w:rsid w:val="0654187C"/>
    <w:rsid w:val="065475DE"/>
    <w:rsid w:val="06556C03"/>
    <w:rsid w:val="065D39E6"/>
    <w:rsid w:val="06782F84"/>
    <w:rsid w:val="067C28D6"/>
    <w:rsid w:val="06855585"/>
    <w:rsid w:val="068A55C2"/>
    <w:rsid w:val="068E06BC"/>
    <w:rsid w:val="069201CB"/>
    <w:rsid w:val="06946709"/>
    <w:rsid w:val="06956E2E"/>
    <w:rsid w:val="06AA6FEB"/>
    <w:rsid w:val="06AC7765"/>
    <w:rsid w:val="06AF2D3B"/>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7855AD"/>
    <w:rsid w:val="078C5933"/>
    <w:rsid w:val="078D336C"/>
    <w:rsid w:val="078F11FF"/>
    <w:rsid w:val="07971B3F"/>
    <w:rsid w:val="07983294"/>
    <w:rsid w:val="079F1838"/>
    <w:rsid w:val="07A2030D"/>
    <w:rsid w:val="07A5677E"/>
    <w:rsid w:val="07B51934"/>
    <w:rsid w:val="07B9290D"/>
    <w:rsid w:val="07BE52B9"/>
    <w:rsid w:val="07C55A1A"/>
    <w:rsid w:val="07CB1347"/>
    <w:rsid w:val="07D57946"/>
    <w:rsid w:val="07E37ECB"/>
    <w:rsid w:val="07ED524D"/>
    <w:rsid w:val="080124E3"/>
    <w:rsid w:val="08030E27"/>
    <w:rsid w:val="080C3D38"/>
    <w:rsid w:val="080C7FA0"/>
    <w:rsid w:val="080F0F47"/>
    <w:rsid w:val="08193C24"/>
    <w:rsid w:val="082A7098"/>
    <w:rsid w:val="08334B3D"/>
    <w:rsid w:val="08341060"/>
    <w:rsid w:val="08732D34"/>
    <w:rsid w:val="08787FF0"/>
    <w:rsid w:val="08824DF0"/>
    <w:rsid w:val="08882872"/>
    <w:rsid w:val="0889002B"/>
    <w:rsid w:val="089B79D9"/>
    <w:rsid w:val="08A44DA6"/>
    <w:rsid w:val="08AA245A"/>
    <w:rsid w:val="08AD2ACC"/>
    <w:rsid w:val="08BA6E24"/>
    <w:rsid w:val="08C024D5"/>
    <w:rsid w:val="08C562FD"/>
    <w:rsid w:val="08CA27B1"/>
    <w:rsid w:val="08CB4D79"/>
    <w:rsid w:val="08E916DF"/>
    <w:rsid w:val="08F473EA"/>
    <w:rsid w:val="08FC0AA5"/>
    <w:rsid w:val="090E77B3"/>
    <w:rsid w:val="092173F4"/>
    <w:rsid w:val="09262DE9"/>
    <w:rsid w:val="092F7300"/>
    <w:rsid w:val="09306537"/>
    <w:rsid w:val="09355076"/>
    <w:rsid w:val="09392119"/>
    <w:rsid w:val="09445E95"/>
    <w:rsid w:val="09543B3B"/>
    <w:rsid w:val="09600FBD"/>
    <w:rsid w:val="0972595C"/>
    <w:rsid w:val="098143BC"/>
    <w:rsid w:val="098500F1"/>
    <w:rsid w:val="0992510E"/>
    <w:rsid w:val="09BD407A"/>
    <w:rsid w:val="09C12CF5"/>
    <w:rsid w:val="09DA0E26"/>
    <w:rsid w:val="09DB6437"/>
    <w:rsid w:val="09E55691"/>
    <w:rsid w:val="09F67CD5"/>
    <w:rsid w:val="0A054821"/>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B4F7F"/>
    <w:rsid w:val="0A9C263A"/>
    <w:rsid w:val="0A9D54CD"/>
    <w:rsid w:val="0A9E3D3D"/>
    <w:rsid w:val="0AA077E0"/>
    <w:rsid w:val="0AC01F88"/>
    <w:rsid w:val="0AC0212C"/>
    <w:rsid w:val="0AC3085F"/>
    <w:rsid w:val="0AD47C37"/>
    <w:rsid w:val="0AD542C1"/>
    <w:rsid w:val="0ADD5A20"/>
    <w:rsid w:val="0AE10FD9"/>
    <w:rsid w:val="0AE11CD3"/>
    <w:rsid w:val="0AF13898"/>
    <w:rsid w:val="0AFB3228"/>
    <w:rsid w:val="0AFC6C07"/>
    <w:rsid w:val="0B0130D7"/>
    <w:rsid w:val="0B0250FD"/>
    <w:rsid w:val="0B0F025C"/>
    <w:rsid w:val="0B1A6333"/>
    <w:rsid w:val="0B2713F4"/>
    <w:rsid w:val="0B3B1BC1"/>
    <w:rsid w:val="0B3B5196"/>
    <w:rsid w:val="0B3D701F"/>
    <w:rsid w:val="0B3E7DD7"/>
    <w:rsid w:val="0B4165D7"/>
    <w:rsid w:val="0B491629"/>
    <w:rsid w:val="0B554398"/>
    <w:rsid w:val="0B561995"/>
    <w:rsid w:val="0B5C2C2A"/>
    <w:rsid w:val="0B6148D2"/>
    <w:rsid w:val="0B665E0A"/>
    <w:rsid w:val="0B704064"/>
    <w:rsid w:val="0B7B7C3C"/>
    <w:rsid w:val="0B847B39"/>
    <w:rsid w:val="0B9040D9"/>
    <w:rsid w:val="0B987E20"/>
    <w:rsid w:val="0B9E71DF"/>
    <w:rsid w:val="0BA65BCD"/>
    <w:rsid w:val="0BAD5CC5"/>
    <w:rsid w:val="0BAD5EDC"/>
    <w:rsid w:val="0BAF59B9"/>
    <w:rsid w:val="0BB524B8"/>
    <w:rsid w:val="0BB756DF"/>
    <w:rsid w:val="0BC63DB2"/>
    <w:rsid w:val="0BCC4043"/>
    <w:rsid w:val="0BCC4B6A"/>
    <w:rsid w:val="0BE2291A"/>
    <w:rsid w:val="0BF154DA"/>
    <w:rsid w:val="0C1E494F"/>
    <w:rsid w:val="0C3427D0"/>
    <w:rsid w:val="0C43327D"/>
    <w:rsid w:val="0C4426AF"/>
    <w:rsid w:val="0C453647"/>
    <w:rsid w:val="0C4577EC"/>
    <w:rsid w:val="0C4F3B0E"/>
    <w:rsid w:val="0C4F7881"/>
    <w:rsid w:val="0C5C6396"/>
    <w:rsid w:val="0C63431B"/>
    <w:rsid w:val="0C650A20"/>
    <w:rsid w:val="0C690EFA"/>
    <w:rsid w:val="0C6E11B8"/>
    <w:rsid w:val="0C723CD1"/>
    <w:rsid w:val="0C753C46"/>
    <w:rsid w:val="0C825F28"/>
    <w:rsid w:val="0C89028B"/>
    <w:rsid w:val="0C894312"/>
    <w:rsid w:val="0C8B63A3"/>
    <w:rsid w:val="0C992B18"/>
    <w:rsid w:val="0CB94808"/>
    <w:rsid w:val="0CC146A9"/>
    <w:rsid w:val="0CC37BC2"/>
    <w:rsid w:val="0CD25521"/>
    <w:rsid w:val="0CD87ABE"/>
    <w:rsid w:val="0CE26C42"/>
    <w:rsid w:val="0CE632FF"/>
    <w:rsid w:val="0CE76B48"/>
    <w:rsid w:val="0CEB5DBE"/>
    <w:rsid w:val="0CFB523A"/>
    <w:rsid w:val="0D074D4A"/>
    <w:rsid w:val="0D0A3371"/>
    <w:rsid w:val="0D1B1E9C"/>
    <w:rsid w:val="0D4B44A1"/>
    <w:rsid w:val="0D6811B4"/>
    <w:rsid w:val="0D6E2620"/>
    <w:rsid w:val="0D704E21"/>
    <w:rsid w:val="0D7F48FE"/>
    <w:rsid w:val="0D883C88"/>
    <w:rsid w:val="0D936E72"/>
    <w:rsid w:val="0D966BF7"/>
    <w:rsid w:val="0DB54F84"/>
    <w:rsid w:val="0DB84465"/>
    <w:rsid w:val="0DCC3AE8"/>
    <w:rsid w:val="0DD87842"/>
    <w:rsid w:val="0DEF012A"/>
    <w:rsid w:val="0DF202E1"/>
    <w:rsid w:val="0DF53CE3"/>
    <w:rsid w:val="0E0961C5"/>
    <w:rsid w:val="0E147898"/>
    <w:rsid w:val="0E1843CA"/>
    <w:rsid w:val="0E2F216B"/>
    <w:rsid w:val="0E3352C6"/>
    <w:rsid w:val="0E3A5EE2"/>
    <w:rsid w:val="0E542F3B"/>
    <w:rsid w:val="0E5757F7"/>
    <w:rsid w:val="0E601636"/>
    <w:rsid w:val="0E6271DF"/>
    <w:rsid w:val="0E6418B3"/>
    <w:rsid w:val="0E70730F"/>
    <w:rsid w:val="0E81568A"/>
    <w:rsid w:val="0E942250"/>
    <w:rsid w:val="0E963344"/>
    <w:rsid w:val="0E9E6E00"/>
    <w:rsid w:val="0EA40C1C"/>
    <w:rsid w:val="0EAF381F"/>
    <w:rsid w:val="0EB36B26"/>
    <w:rsid w:val="0EB72E4B"/>
    <w:rsid w:val="0ED971B3"/>
    <w:rsid w:val="0EEC6F1D"/>
    <w:rsid w:val="0F103291"/>
    <w:rsid w:val="0F15660A"/>
    <w:rsid w:val="0F1D498B"/>
    <w:rsid w:val="0F22242C"/>
    <w:rsid w:val="0F337178"/>
    <w:rsid w:val="0F3B15FC"/>
    <w:rsid w:val="0F41022A"/>
    <w:rsid w:val="0F49112C"/>
    <w:rsid w:val="0F56743B"/>
    <w:rsid w:val="0F60682C"/>
    <w:rsid w:val="0F6763D9"/>
    <w:rsid w:val="0F715B2B"/>
    <w:rsid w:val="0F744211"/>
    <w:rsid w:val="0F764270"/>
    <w:rsid w:val="0F7F273F"/>
    <w:rsid w:val="0F8418ED"/>
    <w:rsid w:val="0F957B47"/>
    <w:rsid w:val="0F98796C"/>
    <w:rsid w:val="0F9F6FA4"/>
    <w:rsid w:val="0FA65D5C"/>
    <w:rsid w:val="0FAA75F1"/>
    <w:rsid w:val="0FAD33DA"/>
    <w:rsid w:val="0FBE2A42"/>
    <w:rsid w:val="0FC17CCE"/>
    <w:rsid w:val="0FC424B9"/>
    <w:rsid w:val="0FD70565"/>
    <w:rsid w:val="0FEC680C"/>
    <w:rsid w:val="10007AD6"/>
    <w:rsid w:val="101776CC"/>
    <w:rsid w:val="101B1E8A"/>
    <w:rsid w:val="101C4A03"/>
    <w:rsid w:val="101D0C86"/>
    <w:rsid w:val="104A023B"/>
    <w:rsid w:val="10501493"/>
    <w:rsid w:val="10505F3B"/>
    <w:rsid w:val="10677613"/>
    <w:rsid w:val="106D2686"/>
    <w:rsid w:val="106D40A8"/>
    <w:rsid w:val="107C3E2C"/>
    <w:rsid w:val="107D41AE"/>
    <w:rsid w:val="108C2479"/>
    <w:rsid w:val="10AD6C2C"/>
    <w:rsid w:val="10B83E40"/>
    <w:rsid w:val="10C715C5"/>
    <w:rsid w:val="10D335EF"/>
    <w:rsid w:val="10E746EA"/>
    <w:rsid w:val="10E83FE0"/>
    <w:rsid w:val="10EC3168"/>
    <w:rsid w:val="10F52718"/>
    <w:rsid w:val="11124F2E"/>
    <w:rsid w:val="11125358"/>
    <w:rsid w:val="111F6CBE"/>
    <w:rsid w:val="112D2A42"/>
    <w:rsid w:val="113A22DB"/>
    <w:rsid w:val="114028DC"/>
    <w:rsid w:val="11415452"/>
    <w:rsid w:val="11441C15"/>
    <w:rsid w:val="1159252B"/>
    <w:rsid w:val="1160765D"/>
    <w:rsid w:val="116938AA"/>
    <w:rsid w:val="116F1EB0"/>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F40833"/>
    <w:rsid w:val="11F74BFD"/>
    <w:rsid w:val="11F92DAB"/>
    <w:rsid w:val="11FB6DE4"/>
    <w:rsid w:val="11FC38D5"/>
    <w:rsid w:val="11FD37F5"/>
    <w:rsid w:val="120F1E38"/>
    <w:rsid w:val="1210682D"/>
    <w:rsid w:val="123A00AA"/>
    <w:rsid w:val="123A05DB"/>
    <w:rsid w:val="124240B9"/>
    <w:rsid w:val="12491684"/>
    <w:rsid w:val="124D0988"/>
    <w:rsid w:val="124E44B4"/>
    <w:rsid w:val="126532DD"/>
    <w:rsid w:val="12680E73"/>
    <w:rsid w:val="126A6F23"/>
    <w:rsid w:val="12763466"/>
    <w:rsid w:val="127E5AA6"/>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71D1B"/>
    <w:rsid w:val="12EE5106"/>
    <w:rsid w:val="12F37966"/>
    <w:rsid w:val="12F777F2"/>
    <w:rsid w:val="1307341C"/>
    <w:rsid w:val="13091D5B"/>
    <w:rsid w:val="130C40FE"/>
    <w:rsid w:val="130E3629"/>
    <w:rsid w:val="131B39DD"/>
    <w:rsid w:val="13283BA4"/>
    <w:rsid w:val="13332F77"/>
    <w:rsid w:val="13334E1C"/>
    <w:rsid w:val="13346EE4"/>
    <w:rsid w:val="13384952"/>
    <w:rsid w:val="1355107F"/>
    <w:rsid w:val="135D4D2E"/>
    <w:rsid w:val="1366638D"/>
    <w:rsid w:val="1369011A"/>
    <w:rsid w:val="136D76E8"/>
    <w:rsid w:val="137266E0"/>
    <w:rsid w:val="13760FD5"/>
    <w:rsid w:val="13811975"/>
    <w:rsid w:val="138C3965"/>
    <w:rsid w:val="139D3156"/>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85665F"/>
    <w:rsid w:val="14934F1A"/>
    <w:rsid w:val="149559C4"/>
    <w:rsid w:val="149D71D6"/>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F4E1B"/>
    <w:rsid w:val="154D342A"/>
    <w:rsid w:val="1559587F"/>
    <w:rsid w:val="15740334"/>
    <w:rsid w:val="1574662E"/>
    <w:rsid w:val="15751882"/>
    <w:rsid w:val="1575191B"/>
    <w:rsid w:val="157818C6"/>
    <w:rsid w:val="159F73BB"/>
    <w:rsid w:val="15B03F28"/>
    <w:rsid w:val="15B16BE2"/>
    <w:rsid w:val="15C15E25"/>
    <w:rsid w:val="15C42571"/>
    <w:rsid w:val="15DB1D41"/>
    <w:rsid w:val="15E30A80"/>
    <w:rsid w:val="15F97492"/>
    <w:rsid w:val="15FD2FA2"/>
    <w:rsid w:val="1608480E"/>
    <w:rsid w:val="161C1C58"/>
    <w:rsid w:val="162D7415"/>
    <w:rsid w:val="162F7556"/>
    <w:rsid w:val="16323AF7"/>
    <w:rsid w:val="16326AA6"/>
    <w:rsid w:val="163814FD"/>
    <w:rsid w:val="16413A3A"/>
    <w:rsid w:val="1644500C"/>
    <w:rsid w:val="16461A95"/>
    <w:rsid w:val="164E57F2"/>
    <w:rsid w:val="16594F06"/>
    <w:rsid w:val="165A38E6"/>
    <w:rsid w:val="166F5E80"/>
    <w:rsid w:val="16766A92"/>
    <w:rsid w:val="167A52A9"/>
    <w:rsid w:val="167B20D8"/>
    <w:rsid w:val="167B7B40"/>
    <w:rsid w:val="167C6594"/>
    <w:rsid w:val="16833ACA"/>
    <w:rsid w:val="16866882"/>
    <w:rsid w:val="16872167"/>
    <w:rsid w:val="16895E32"/>
    <w:rsid w:val="168F69F2"/>
    <w:rsid w:val="169C7FDE"/>
    <w:rsid w:val="16A4319F"/>
    <w:rsid w:val="16AC4DDB"/>
    <w:rsid w:val="16AE2FE3"/>
    <w:rsid w:val="16B23908"/>
    <w:rsid w:val="16B4400E"/>
    <w:rsid w:val="16C71372"/>
    <w:rsid w:val="16C739DF"/>
    <w:rsid w:val="16C86CDB"/>
    <w:rsid w:val="16CB3E27"/>
    <w:rsid w:val="16D078DE"/>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605E9B"/>
    <w:rsid w:val="176734F5"/>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D0787"/>
    <w:rsid w:val="185D1883"/>
    <w:rsid w:val="185E3AA1"/>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56B5"/>
    <w:rsid w:val="19E54655"/>
    <w:rsid w:val="19F061A1"/>
    <w:rsid w:val="1A054259"/>
    <w:rsid w:val="1A081816"/>
    <w:rsid w:val="1A0C5680"/>
    <w:rsid w:val="1A165171"/>
    <w:rsid w:val="1A3068A4"/>
    <w:rsid w:val="1A4858FF"/>
    <w:rsid w:val="1A4C698A"/>
    <w:rsid w:val="1A4D778D"/>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366B2"/>
    <w:rsid w:val="1B141BBC"/>
    <w:rsid w:val="1B2160BB"/>
    <w:rsid w:val="1B3637AD"/>
    <w:rsid w:val="1B3E0DB5"/>
    <w:rsid w:val="1B454C94"/>
    <w:rsid w:val="1B5D79CB"/>
    <w:rsid w:val="1B6B769D"/>
    <w:rsid w:val="1B6C0DF0"/>
    <w:rsid w:val="1B6F557E"/>
    <w:rsid w:val="1B7F6005"/>
    <w:rsid w:val="1B9C269A"/>
    <w:rsid w:val="1B9E64C5"/>
    <w:rsid w:val="1B9E6D4C"/>
    <w:rsid w:val="1BA830B6"/>
    <w:rsid w:val="1BB07CEA"/>
    <w:rsid w:val="1BBD43BA"/>
    <w:rsid w:val="1BC01115"/>
    <w:rsid w:val="1BC44015"/>
    <w:rsid w:val="1BCA6284"/>
    <w:rsid w:val="1BCC6C47"/>
    <w:rsid w:val="1BE32C74"/>
    <w:rsid w:val="1BFB481C"/>
    <w:rsid w:val="1BFE5FF9"/>
    <w:rsid w:val="1C013494"/>
    <w:rsid w:val="1C053414"/>
    <w:rsid w:val="1C132CB9"/>
    <w:rsid w:val="1C1642A1"/>
    <w:rsid w:val="1C1B5A97"/>
    <w:rsid w:val="1C240174"/>
    <w:rsid w:val="1C24038D"/>
    <w:rsid w:val="1C273D33"/>
    <w:rsid w:val="1C4032AB"/>
    <w:rsid w:val="1C4672ED"/>
    <w:rsid w:val="1C467AB6"/>
    <w:rsid w:val="1C565B9C"/>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227612"/>
    <w:rsid w:val="1D3305FF"/>
    <w:rsid w:val="1D395282"/>
    <w:rsid w:val="1D4251BA"/>
    <w:rsid w:val="1D5B2FF2"/>
    <w:rsid w:val="1D5F5386"/>
    <w:rsid w:val="1D7072CE"/>
    <w:rsid w:val="1D794A16"/>
    <w:rsid w:val="1D8A021B"/>
    <w:rsid w:val="1D916305"/>
    <w:rsid w:val="1D9E30A9"/>
    <w:rsid w:val="1DAB1006"/>
    <w:rsid w:val="1DAB2A0A"/>
    <w:rsid w:val="1DB33C11"/>
    <w:rsid w:val="1DC65562"/>
    <w:rsid w:val="1DD34749"/>
    <w:rsid w:val="1DD65875"/>
    <w:rsid w:val="1DDD201B"/>
    <w:rsid w:val="1DE94164"/>
    <w:rsid w:val="1DEE1B11"/>
    <w:rsid w:val="1E105A20"/>
    <w:rsid w:val="1E164B52"/>
    <w:rsid w:val="1E273844"/>
    <w:rsid w:val="1E2F243E"/>
    <w:rsid w:val="1E3B4F6B"/>
    <w:rsid w:val="1E455D19"/>
    <w:rsid w:val="1E595CAF"/>
    <w:rsid w:val="1E5C31E8"/>
    <w:rsid w:val="1E6607F9"/>
    <w:rsid w:val="1E691070"/>
    <w:rsid w:val="1E707C18"/>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E662A"/>
    <w:rsid w:val="1F4F2219"/>
    <w:rsid w:val="1F5B409C"/>
    <w:rsid w:val="1F614D01"/>
    <w:rsid w:val="1F721405"/>
    <w:rsid w:val="1F935819"/>
    <w:rsid w:val="1FA6556D"/>
    <w:rsid w:val="1FAF2571"/>
    <w:rsid w:val="1FB33036"/>
    <w:rsid w:val="1FB71691"/>
    <w:rsid w:val="1FC55EDA"/>
    <w:rsid w:val="1FCE593C"/>
    <w:rsid w:val="1FE312AC"/>
    <w:rsid w:val="1FEC5915"/>
    <w:rsid w:val="1FED32EF"/>
    <w:rsid w:val="1FF82884"/>
    <w:rsid w:val="201E6D7C"/>
    <w:rsid w:val="20446081"/>
    <w:rsid w:val="204852AD"/>
    <w:rsid w:val="204A6449"/>
    <w:rsid w:val="204E6676"/>
    <w:rsid w:val="205A5AA0"/>
    <w:rsid w:val="20773A28"/>
    <w:rsid w:val="208574F4"/>
    <w:rsid w:val="208C4449"/>
    <w:rsid w:val="208F6BAF"/>
    <w:rsid w:val="209414DB"/>
    <w:rsid w:val="20A300D1"/>
    <w:rsid w:val="20A462BA"/>
    <w:rsid w:val="20AA590A"/>
    <w:rsid w:val="20BF2AAC"/>
    <w:rsid w:val="20C61728"/>
    <w:rsid w:val="20C849C7"/>
    <w:rsid w:val="20DF66D2"/>
    <w:rsid w:val="20EC3F2E"/>
    <w:rsid w:val="20EC7C3E"/>
    <w:rsid w:val="20F0566D"/>
    <w:rsid w:val="20F07537"/>
    <w:rsid w:val="20FA77BC"/>
    <w:rsid w:val="21044C5C"/>
    <w:rsid w:val="210548E9"/>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5366A"/>
    <w:rsid w:val="21C267BF"/>
    <w:rsid w:val="21CD6BCD"/>
    <w:rsid w:val="21CE6067"/>
    <w:rsid w:val="21CF439A"/>
    <w:rsid w:val="21D824E4"/>
    <w:rsid w:val="21F00127"/>
    <w:rsid w:val="21F7745C"/>
    <w:rsid w:val="221D2FA3"/>
    <w:rsid w:val="2226635F"/>
    <w:rsid w:val="222D4F0B"/>
    <w:rsid w:val="223A29CF"/>
    <w:rsid w:val="223D7545"/>
    <w:rsid w:val="22411D14"/>
    <w:rsid w:val="22423BE1"/>
    <w:rsid w:val="22454449"/>
    <w:rsid w:val="22500810"/>
    <w:rsid w:val="226347BD"/>
    <w:rsid w:val="22682935"/>
    <w:rsid w:val="227E7CD6"/>
    <w:rsid w:val="22831F3D"/>
    <w:rsid w:val="228710B4"/>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36AF5"/>
    <w:rsid w:val="232C2DD6"/>
    <w:rsid w:val="233C6F76"/>
    <w:rsid w:val="234449F5"/>
    <w:rsid w:val="23536618"/>
    <w:rsid w:val="236A406F"/>
    <w:rsid w:val="236C1BCA"/>
    <w:rsid w:val="237464D5"/>
    <w:rsid w:val="23816932"/>
    <w:rsid w:val="23925D42"/>
    <w:rsid w:val="239C062C"/>
    <w:rsid w:val="23A9484E"/>
    <w:rsid w:val="23B32F98"/>
    <w:rsid w:val="23B340EB"/>
    <w:rsid w:val="23B84268"/>
    <w:rsid w:val="23D17D7B"/>
    <w:rsid w:val="23D36D91"/>
    <w:rsid w:val="23DE28E0"/>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88150C"/>
    <w:rsid w:val="24967323"/>
    <w:rsid w:val="24973A2A"/>
    <w:rsid w:val="249D5FC8"/>
    <w:rsid w:val="24A1538E"/>
    <w:rsid w:val="24B006F9"/>
    <w:rsid w:val="24B9450F"/>
    <w:rsid w:val="24C25350"/>
    <w:rsid w:val="24C83F94"/>
    <w:rsid w:val="24D82EE2"/>
    <w:rsid w:val="24F60CDA"/>
    <w:rsid w:val="24FE42EB"/>
    <w:rsid w:val="25090336"/>
    <w:rsid w:val="250D450C"/>
    <w:rsid w:val="25134332"/>
    <w:rsid w:val="25141A5B"/>
    <w:rsid w:val="2521546A"/>
    <w:rsid w:val="252242ED"/>
    <w:rsid w:val="25251ED8"/>
    <w:rsid w:val="252A2BA6"/>
    <w:rsid w:val="252B49E0"/>
    <w:rsid w:val="252D3CC1"/>
    <w:rsid w:val="254263DB"/>
    <w:rsid w:val="254A35DD"/>
    <w:rsid w:val="25657E8F"/>
    <w:rsid w:val="25691F8B"/>
    <w:rsid w:val="256E76DE"/>
    <w:rsid w:val="25734B61"/>
    <w:rsid w:val="25786AEC"/>
    <w:rsid w:val="258F6BC4"/>
    <w:rsid w:val="2597510C"/>
    <w:rsid w:val="25975923"/>
    <w:rsid w:val="259A3D0A"/>
    <w:rsid w:val="25A363D4"/>
    <w:rsid w:val="25A95F3E"/>
    <w:rsid w:val="25BF0CF9"/>
    <w:rsid w:val="25BF6041"/>
    <w:rsid w:val="25C35718"/>
    <w:rsid w:val="25C61D8C"/>
    <w:rsid w:val="25CF0252"/>
    <w:rsid w:val="25D0248E"/>
    <w:rsid w:val="25D61C5C"/>
    <w:rsid w:val="25F81D70"/>
    <w:rsid w:val="25FB5636"/>
    <w:rsid w:val="25FE58A9"/>
    <w:rsid w:val="26006FFE"/>
    <w:rsid w:val="26026DCF"/>
    <w:rsid w:val="26070462"/>
    <w:rsid w:val="260D2C45"/>
    <w:rsid w:val="262E3CBF"/>
    <w:rsid w:val="26395C92"/>
    <w:rsid w:val="2641231E"/>
    <w:rsid w:val="264252DF"/>
    <w:rsid w:val="26465DA0"/>
    <w:rsid w:val="26562F1C"/>
    <w:rsid w:val="265A5249"/>
    <w:rsid w:val="266237C3"/>
    <w:rsid w:val="267550B9"/>
    <w:rsid w:val="269278DC"/>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41AC8"/>
    <w:rsid w:val="276D111F"/>
    <w:rsid w:val="276D54E6"/>
    <w:rsid w:val="2778582E"/>
    <w:rsid w:val="27806765"/>
    <w:rsid w:val="27821DE7"/>
    <w:rsid w:val="27832596"/>
    <w:rsid w:val="278C1620"/>
    <w:rsid w:val="279B1E53"/>
    <w:rsid w:val="27AA3521"/>
    <w:rsid w:val="27AB7429"/>
    <w:rsid w:val="27C57B2B"/>
    <w:rsid w:val="27C8029E"/>
    <w:rsid w:val="27CC7505"/>
    <w:rsid w:val="27CC78AC"/>
    <w:rsid w:val="27D06938"/>
    <w:rsid w:val="27D72FE7"/>
    <w:rsid w:val="27D86029"/>
    <w:rsid w:val="27DD45ED"/>
    <w:rsid w:val="27E3651B"/>
    <w:rsid w:val="27E864CC"/>
    <w:rsid w:val="27EC25E3"/>
    <w:rsid w:val="27ED0939"/>
    <w:rsid w:val="27F1498B"/>
    <w:rsid w:val="27F80CA0"/>
    <w:rsid w:val="28027A71"/>
    <w:rsid w:val="281D5376"/>
    <w:rsid w:val="281F4F67"/>
    <w:rsid w:val="28243654"/>
    <w:rsid w:val="282857E6"/>
    <w:rsid w:val="283744B4"/>
    <w:rsid w:val="283E7768"/>
    <w:rsid w:val="28485D62"/>
    <w:rsid w:val="28517107"/>
    <w:rsid w:val="28524ABE"/>
    <w:rsid w:val="285560D7"/>
    <w:rsid w:val="286E74F1"/>
    <w:rsid w:val="28760CA0"/>
    <w:rsid w:val="287B218C"/>
    <w:rsid w:val="288A05DD"/>
    <w:rsid w:val="288C7637"/>
    <w:rsid w:val="28937D89"/>
    <w:rsid w:val="289B0550"/>
    <w:rsid w:val="28BD3F79"/>
    <w:rsid w:val="28C8606D"/>
    <w:rsid w:val="28C96C14"/>
    <w:rsid w:val="28DE11F1"/>
    <w:rsid w:val="28E138E3"/>
    <w:rsid w:val="28E74216"/>
    <w:rsid w:val="28E87EE4"/>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B3D6F"/>
    <w:rsid w:val="2AC70B30"/>
    <w:rsid w:val="2ACC2AAF"/>
    <w:rsid w:val="2AD74744"/>
    <w:rsid w:val="2AD91AC2"/>
    <w:rsid w:val="2AE57C95"/>
    <w:rsid w:val="2AEA12AD"/>
    <w:rsid w:val="2AF35C8B"/>
    <w:rsid w:val="2B055F4D"/>
    <w:rsid w:val="2B0C0EEE"/>
    <w:rsid w:val="2B112D02"/>
    <w:rsid w:val="2B1137B7"/>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2721B"/>
    <w:rsid w:val="2CAC6D87"/>
    <w:rsid w:val="2CB268EE"/>
    <w:rsid w:val="2CB600FC"/>
    <w:rsid w:val="2CBF061A"/>
    <w:rsid w:val="2CCB6E18"/>
    <w:rsid w:val="2CE8526F"/>
    <w:rsid w:val="2D026315"/>
    <w:rsid w:val="2D0764BD"/>
    <w:rsid w:val="2D0A3DA2"/>
    <w:rsid w:val="2D0B3169"/>
    <w:rsid w:val="2D0D4219"/>
    <w:rsid w:val="2D105AFA"/>
    <w:rsid w:val="2D196E09"/>
    <w:rsid w:val="2D2279B8"/>
    <w:rsid w:val="2D274320"/>
    <w:rsid w:val="2D2D2DE2"/>
    <w:rsid w:val="2D324CCC"/>
    <w:rsid w:val="2D340E86"/>
    <w:rsid w:val="2D395427"/>
    <w:rsid w:val="2D3D0E02"/>
    <w:rsid w:val="2D530593"/>
    <w:rsid w:val="2D542BA8"/>
    <w:rsid w:val="2D5436FA"/>
    <w:rsid w:val="2D59263A"/>
    <w:rsid w:val="2D62469E"/>
    <w:rsid w:val="2D6B40A9"/>
    <w:rsid w:val="2D8A3FA2"/>
    <w:rsid w:val="2D9767DC"/>
    <w:rsid w:val="2D980DDC"/>
    <w:rsid w:val="2D987372"/>
    <w:rsid w:val="2DA23689"/>
    <w:rsid w:val="2DBC2A76"/>
    <w:rsid w:val="2DC66A91"/>
    <w:rsid w:val="2DC92AA1"/>
    <w:rsid w:val="2DCE5F69"/>
    <w:rsid w:val="2DD14E96"/>
    <w:rsid w:val="2DD51812"/>
    <w:rsid w:val="2DD63DB4"/>
    <w:rsid w:val="2DDD4F0A"/>
    <w:rsid w:val="2E147A92"/>
    <w:rsid w:val="2E34792A"/>
    <w:rsid w:val="2E437E73"/>
    <w:rsid w:val="2E4A5201"/>
    <w:rsid w:val="2E5034DC"/>
    <w:rsid w:val="2E572AB9"/>
    <w:rsid w:val="2E600E38"/>
    <w:rsid w:val="2E6E306D"/>
    <w:rsid w:val="2E6F7ECA"/>
    <w:rsid w:val="2E7258DC"/>
    <w:rsid w:val="2E7545D2"/>
    <w:rsid w:val="2E79458E"/>
    <w:rsid w:val="2E797A78"/>
    <w:rsid w:val="2E7A5F31"/>
    <w:rsid w:val="2E7C6A94"/>
    <w:rsid w:val="2E8321A5"/>
    <w:rsid w:val="2E8D14A8"/>
    <w:rsid w:val="2E95430E"/>
    <w:rsid w:val="2E982300"/>
    <w:rsid w:val="2E9F6D95"/>
    <w:rsid w:val="2EAE350B"/>
    <w:rsid w:val="2EB20A6C"/>
    <w:rsid w:val="2EBC2287"/>
    <w:rsid w:val="2EC3466D"/>
    <w:rsid w:val="2EC44440"/>
    <w:rsid w:val="2ECA3116"/>
    <w:rsid w:val="2EDD7896"/>
    <w:rsid w:val="2EEA6E65"/>
    <w:rsid w:val="2EF13DF8"/>
    <w:rsid w:val="2EF33C7C"/>
    <w:rsid w:val="2F00052B"/>
    <w:rsid w:val="2F0367CD"/>
    <w:rsid w:val="2F1251F2"/>
    <w:rsid w:val="2F1934F7"/>
    <w:rsid w:val="2F2D445E"/>
    <w:rsid w:val="2F4B20A5"/>
    <w:rsid w:val="2F4F6FBB"/>
    <w:rsid w:val="2F664E2B"/>
    <w:rsid w:val="2F6C7BE3"/>
    <w:rsid w:val="2F783485"/>
    <w:rsid w:val="2F7A17CB"/>
    <w:rsid w:val="2F7F5C0B"/>
    <w:rsid w:val="2F895685"/>
    <w:rsid w:val="2F9048F8"/>
    <w:rsid w:val="2F981C97"/>
    <w:rsid w:val="2F9A13B4"/>
    <w:rsid w:val="2FA6492D"/>
    <w:rsid w:val="2FBC304A"/>
    <w:rsid w:val="2FC86676"/>
    <w:rsid w:val="2FD17A1B"/>
    <w:rsid w:val="2FD71CA4"/>
    <w:rsid w:val="2FDC4A8D"/>
    <w:rsid w:val="2FEA743A"/>
    <w:rsid w:val="2FF24D11"/>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C16A19"/>
    <w:rsid w:val="30C262B6"/>
    <w:rsid w:val="30CB5800"/>
    <w:rsid w:val="30D32236"/>
    <w:rsid w:val="30DE0A85"/>
    <w:rsid w:val="30E43E12"/>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D70EED"/>
    <w:rsid w:val="31E745D2"/>
    <w:rsid w:val="31EF7EE8"/>
    <w:rsid w:val="31F25DBD"/>
    <w:rsid w:val="31FF1CDF"/>
    <w:rsid w:val="3201404F"/>
    <w:rsid w:val="320901F5"/>
    <w:rsid w:val="320B7CCB"/>
    <w:rsid w:val="32105DE8"/>
    <w:rsid w:val="32245267"/>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DF351E"/>
    <w:rsid w:val="32E646C9"/>
    <w:rsid w:val="32EE5E41"/>
    <w:rsid w:val="32F1510B"/>
    <w:rsid w:val="32F40F87"/>
    <w:rsid w:val="32F520B9"/>
    <w:rsid w:val="32FD7C76"/>
    <w:rsid w:val="330414AF"/>
    <w:rsid w:val="330C22FC"/>
    <w:rsid w:val="33196CCC"/>
    <w:rsid w:val="33540E5D"/>
    <w:rsid w:val="335A0521"/>
    <w:rsid w:val="335E7B11"/>
    <w:rsid w:val="3364318B"/>
    <w:rsid w:val="33691888"/>
    <w:rsid w:val="336A499A"/>
    <w:rsid w:val="33714830"/>
    <w:rsid w:val="33737F51"/>
    <w:rsid w:val="337964FF"/>
    <w:rsid w:val="337D34FB"/>
    <w:rsid w:val="337E2DAF"/>
    <w:rsid w:val="33821695"/>
    <w:rsid w:val="33A47053"/>
    <w:rsid w:val="33AD5111"/>
    <w:rsid w:val="33BF4199"/>
    <w:rsid w:val="33CD23A8"/>
    <w:rsid w:val="33CD6498"/>
    <w:rsid w:val="33D7554F"/>
    <w:rsid w:val="33FE62E7"/>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9657C"/>
    <w:rsid w:val="34A52713"/>
    <w:rsid w:val="34BC3C04"/>
    <w:rsid w:val="34BD02AE"/>
    <w:rsid w:val="34C20DC7"/>
    <w:rsid w:val="34DA26A8"/>
    <w:rsid w:val="34DC3CCC"/>
    <w:rsid w:val="34DD61F0"/>
    <w:rsid w:val="34DE2B9F"/>
    <w:rsid w:val="34DF0124"/>
    <w:rsid w:val="34E145D2"/>
    <w:rsid w:val="34E75EA5"/>
    <w:rsid w:val="34E960F1"/>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B5838"/>
    <w:rsid w:val="35CD6F14"/>
    <w:rsid w:val="35CF4A06"/>
    <w:rsid w:val="35D24294"/>
    <w:rsid w:val="35D71152"/>
    <w:rsid w:val="35FF6F3C"/>
    <w:rsid w:val="3600359A"/>
    <w:rsid w:val="36075F27"/>
    <w:rsid w:val="36121506"/>
    <w:rsid w:val="36180A4A"/>
    <w:rsid w:val="361D7A43"/>
    <w:rsid w:val="361E658D"/>
    <w:rsid w:val="361F3323"/>
    <w:rsid w:val="363B1718"/>
    <w:rsid w:val="36402EFA"/>
    <w:rsid w:val="36496A51"/>
    <w:rsid w:val="364F7CD0"/>
    <w:rsid w:val="36535FD0"/>
    <w:rsid w:val="365623F6"/>
    <w:rsid w:val="365B4FE5"/>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F33FC"/>
    <w:rsid w:val="37A432E4"/>
    <w:rsid w:val="37A86196"/>
    <w:rsid w:val="37C94031"/>
    <w:rsid w:val="37CA042E"/>
    <w:rsid w:val="37D44549"/>
    <w:rsid w:val="37D77B09"/>
    <w:rsid w:val="37D931A8"/>
    <w:rsid w:val="37D97EDE"/>
    <w:rsid w:val="37DE0FFA"/>
    <w:rsid w:val="37E76E34"/>
    <w:rsid w:val="37F32910"/>
    <w:rsid w:val="380632B2"/>
    <w:rsid w:val="380D02B1"/>
    <w:rsid w:val="381C3EB1"/>
    <w:rsid w:val="382B1BDF"/>
    <w:rsid w:val="382E392C"/>
    <w:rsid w:val="38342E90"/>
    <w:rsid w:val="38451B7E"/>
    <w:rsid w:val="384B7332"/>
    <w:rsid w:val="385056AF"/>
    <w:rsid w:val="386A7142"/>
    <w:rsid w:val="386E0B2C"/>
    <w:rsid w:val="38706DCB"/>
    <w:rsid w:val="388E5848"/>
    <w:rsid w:val="389E7B13"/>
    <w:rsid w:val="38A341A7"/>
    <w:rsid w:val="38AF6B7E"/>
    <w:rsid w:val="38BD240C"/>
    <w:rsid w:val="38BD31EE"/>
    <w:rsid w:val="38C05985"/>
    <w:rsid w:val="38C2629A"/>
    <w:rsid w:val="38CB3BDF"/>
    <w:rsid w:val="38D33D29"/>
    <w:rsid w:val="38D41CCF"/>
    <w:rsid w:val="38E40A5B"/>
    <w:rsid w:val="38E51952"/>
    <w:rsid w:val="38F16A28"/>
    <w:rsid w:val="38F96946"/>
    <w:rsid w:val="3913128B"/>
    <w:rsid w:val="391A3359"/>
    <w:rsid w:val="39285D57"/>
    <w:rsid w:val="39315D4D"/>
    <w:rsid w:val="394B6470"/>
    <w:rsid w:val="395C6EA8"/>
    <w:rsid w:val="396139D1"/>
    <w:rsid w:val="396A79A4"/>
    <w:rsid w:val="39872512"/>
    <w:rsid w:val="39A57CF7"/>
    <w:rsid w:val="39A602F9"/>
    <w:rsid w:val="39BD45C8"/>
    <w:rsid w:val="39C2316A"/>
    <w:rsid w:val="39F36281"/>
    <w:rsid w:val="39FD376D"/>
    <w:rsid w:val="39FD6C9C"/>
    <w:rsid w:val="3A0224B9"/>
    <w:rsid w:val="3A14011B"/>
    <w:rsid w:val="3A1509F4"/>
    <w:rsid w:val="3A16728B"/>
    <w:rsid w:val="3A16794C"/>
    <w:rsid w:val="3A1F6809"/>
    <w:rsid w:val="3A226969"/>
    <w:rsid w:val="3A3F47CE"/>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1D60F7"/>
    <w:rsid w:val="3B251957"/>
    <w:rsid w:val="3B2D3716"/>
    <w:rsid w:val="3B307112"/>
    <w:rsid w:val="3B307FDD"/>
    <w:rsid w:val="3B3E5BDD"/>
    <w:rsid w:val="3B552653"/>
    <w:rsid w:val="3B5A2A22"/>
    <w:rsid w:val="3B707794"/>
    <w:rsid w:val="3B7804A3"/>
    <w:rsid w:val="3B8E2153"/>
    <w:rsid w:val="3B9B2072"/>
    <w:rsid w:val="3BA03B83"/>
    <w:rsid w:val="3BA91F03"/>
    <w:rsid w:val="3BAC38CD"/>
    <w:rsid w:val="3BB16FA6"/>
    <w:rsid w:val="3BB17CE6"/>
    <w:rsid w:val="3BB20883"/>
    <w:rsid w:val="3BB448B0"/>
    <w:rsid w:val="3BC34E75"/>
    <w:rsid w:val="3BCB270F"/>
    <w:rsid w:val="3BD96AA6"/>
    <w:rsid w:val="3BDB053C"/>
    <w:rsid w:val="3BED002E"/>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DB5F96"/>
    <w:rsid w:val="3CDB730F"/>
    <w:rsid w:val="3CE23F49"/>
    <w:rsid w:val="3CEC39B8"/>
    <w:rsid w:val="3CF37919"/>
    <w:rsid w:val="3CF720E3"/>
    <w:rsid w:val="3CF72D6A"/>
    <w:rsid w:val="3CF86D06"/>
    <w:rsid w:val="3D00620E"/>
    <w:rsid w:val="3D035226"/>
    <w:rsid w:val="3D0E4AD7"/>
    <w:rsid w:val="3D31576C"/>
    <w:rsid w:val="3D316CDB"/>
    <w:rsid w:val="3D3441A1"/>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CD0F75"/>
    <w:rsid w:val="3DED0F96"/>
    <w:rsid w:val="3DF95812"/>
    <w:rsid w:val="3E0040D9"/>
    <w:rsid w:val="3E1D4B24"/>
    <w:rsid w:val="3E2C1C4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A5CA8"/>
    <w:rsid w:val="3F2C04C4"/>
    <w:rsid w:val="3F3E7C9F"/>
    <w:rsid w:val="3F400694"/>
    <w:rsid w:val="3F416B99"/>
    <w:rsid w:val="3F4F5AD7"/>
    <w:rsid w:val="3F643908"/>
    <w:rsid w:val="3F6A46DC"/>
    <w:rsid w:val="3F6B75A6"/>
    <w:rsid w:val="3F83009B"/>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545E"/>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D20E28"/>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C2C51"/>
    <w:rsid w:val="419E558F"/>
    <w:rsid w:val="419E60D3"/>
    <w:rsid w:val="41A339F5"/>
    <w:rsid w:val="41A36C7E"/>
    <w:rsid w:val="41C45B38"/>
    <w:rsid w:val="41C93F6C"/>
    <w:rsid w:val="41D5139D"/>
    <w:rsid w:val="41D75714"/>
    <w:rsid w:val="41DD3BC3"/>
    <w:rsid w:val="41EE2F03"/>
    <w:rsid w:val="41F466FD"/>
    <w:rsid w:val="42002BC7"/>
    <w:rsid w:val="42026B03"/>
    <w:rsid w:val="420C60D5"/>
    <w:rsid w:val="420D197F"/>
    <w:rsid w:val="42130DE5"/>
    <w:rsid w:val="42187EBE"/>
    <w:rsid w:val="42201DD7"/>
    <w:rsid w:val="42273D8C"/>
    <w:rsid w:val="4227435A"/>
    <w:rsid w:val="42353B47"/>
    <w:rsid w:val="424154E1"/>
    <w:rsid w:val="424B5824"/>
    <w:rsid w:val="42616DD3"/>
    <w:rsid w:val="426973AD"/>
    <w:rsid w:val="426F56CA"/>
    <w:rsid w:val="427A67A1"/>
    <w:rsid w:val="427E0B36"/>
    <w:rsid w:val="42A03D98"/>
    <w:rsid w:val="42A729F1"/>
    <w:rsid w:val="42AD1AAE"/>
    <w:rsid w:val="42B94BC1"/>
    <w:rsid w:val="42BE4DAE"/>
    <w:rsid w:val="42BF61B0"/>
    <w:rsid w:val="42C30254"/>
    <w:rsid w:val="42C42A08"/>
    <w:rsid w:val="42C95059"/>
    <w:rsid w:val="42D064B1"/>
    <w:rsid w:val="42D41F6D"/>
    <w:rsid w:val="42DE48A3"/>
    <w:rsid w:val="42E16058"/>
    <w:rsid w:val="42F17BF5"/>
    <w:rsid w:val="42F87EC9"/>
    <w:rsid w:val="42FA45BF"/>
    <w:rsid w:val="43015F2C"/>
    <w:rsid w:val="430E7E66"/>
    <w:rsid w:val="43296963"/>
    <w:rsid w:val="4332317A"/>
    <w:rsid w:val="433246A0"/>
    <w:rsid w:val="433F6B54"/>
    <w:rsid w:val="4346543A"/>
    <w:rsid w:val="43533E29"/>
    <w:rsid w:val="435B1259"/>
    <w:rsid w:val="436263D5"/>
    <w:rsid w:val="437556C4"/>
    <w:rsid w:val="437F4157"/>
    <w:rsid w:val="43874CD4"/>
    <w:rsid w:val="439B699F"/>
    <w:rsid w:val="439D3E18"/>
    <w:rsid w:val="43AF2D32"/>
    <w:rsid w:val="43B13512"/>
    <w:rsid w:val="43B76E4F"/>
    <w:rsid w:val="43CF0206"/>
    <w:rsid w:val="43D50BA1"/>
    <w:rsid w:val="43D85D6D"/>
    <w:rsid w:val="43DE4FDE"/>
    <w:rsid w:val="43EC6F1F"/>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162B93"/>
    <w:rsid w:val="45184992"/>
    <w:rsid w:val="45234E43"/>
    <w:rsid w:val="45275172"/>
    <w:rsid w:val="45332511"/>
    <w:rsid w:val="45370B65"/>
    <w:rsid w:val="453F44DA"/>
    <w:rsid w:val="45412C46"/>
    <w:rsid w:val="454D74E3"/>
    <w:rsid w:val="4550365F"/>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71533"/>
    <w:rsid w:val="46E53335"/>
    <w:rsid w:val="46E544E3"/>
    <w:rsid w:val="46E87DBA"/>
    <w:rsid w:val="46EE15F6"/>
    <w:rsid w:val="46EE2CC7"/>
    <w:rsid w:val="46FA7468"/>
    <w:rsid w:val="470F7B86"/>
    <w:rsid w:val="47155D89"/>
    <w:rsid w:val="47280544"/>
    <w:rsid w:val="473069AF"/>
    <w:rsid w:val="47356ECD"/>
    <w:rsid w:val="474A0EAF"/>
    <w:rsid w:val="474E50BE"/>
    <w:rsid w:val="475B6683"/>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4417FA"/>
    <w:rsid w:val="48450ECE"/>
    <w:rsid w:val="484759CD"/>
    <w:rsid w:val="484B14EC"/>
    <w:rsid w:val="48602710"/>
    <w:rsid w:val="48713351"/>
    <w:rsid w:val="48802846"/>
    <w:rsid w:val="488260F9"/>
    <w:rsid w:val="48850157"/>
    <w:rsid w:val="48A71C34"/>
    <w:rsid w:val="48A736CF"/>
    <w:rsid w:val="48AD5D21"/>
    <w:rsid w:val="48B116EA"/>
    <w:rsid w:val="48B74C7A"/>
    <w:rsid w:val="48BE32BF"/>
    <w:rsid w:val="48C354EC"/>
    <w:rsid w:val="48C9797D"/>
    <w:rsid w:val="48D429DD"/>
    <w:rsid w:val="48E01C77"/>
    <w:rsid w:val="48E22285"/>
    <w:rsid w:val="48E50D90"/>
    <w:rsid w:val="48EB0B49"/>
    <w:rsid w:val="48EB0D16"/>
    <w:rsid w:val="48F02EBF"/>
    <w:rsid w:val="48FA15CC"/>
    <w:rsid w:val="48FF0DD1"/>
    <w:rsid w:val="490F071A"/>
    <w:rsid w:val="491B63DF"/>
    <w:rsid w:val="491D63E9"/>
    <w:rsid w:val="4932285C"/>
    <w:rsid w:val="49331971"/>
    <w:rsid w:val="49384E02"/>
    <w:rsid w:val="493E2F78"/>
    <w:rsid w:val="493F3A9E"/>
    <w:rsid w:val="495217DF"/>
    <w:rsid w:val="4958367A"/>
    <w:rsid w:val="4960425F"/>
    <w:rsid w:val="498A16CD"/>
    <w:rsid w:val="498A7FB5"/>
    <w:rsid w:val="499145D9"/>
    <w:rsid w:val="49A33C27"/>
    <w:rsid w:val="49A750B5"/>
    <w:rsid w:val="49AF01E5"/>
    <w:rsid w:val="49B93B41"/>
    <w:rsid w:val="49BE07DA"/>
    <w:rsid w:val="49C32414"/>
    <w:rsid w:val="49C84AA0"/>
    <w:rsid w:val="49D7694D"/>
    <w:rsid w:val="49D87799"/>
    <w:rsid w:val="49E87890"/>
    <w:rsid w:val="4A0244D3"/>
    <w:rsid w:val="4A255046"/>
    <w:rsid w:val="4A2E1525"/>
    <w:rsid w:val="4A5A756D"/>
    <w:rsid w:val="4A722B4C"/>
    <w:rsid w:val="4A785772"/>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D7328"/>
    <w:rsid w:val="4B250CF8"/>
    <w:rsid w:val="4B2873FD"/>
    <w:rsid w:val="4B3D4DE9"/>
    <w:rsid w:val="4B7C4100"/>
    <w:rsid w:val="4B830F9B"/>
    <w:rsid w:val="4B8F2DD0"/>
    <w:rsid w:val="4B9B06E8"/>
    <w:rsid w:val="4B9B0C47"/>
    <w:rsid w:val="4B9D4011"/>
    <w:rsid w:val="4BA34CD3"/>
    <w:rsid w:val="4BB36BDD"/>
    <w:rsid w:val="4BB60507"/>
    <w:rsid w:val="4BC32290"/>
    <w:rsid w:val="4BC64C9C"/>
    <w:rsid w:val="4BC738DA"/>
    <w:rsid w:val="4BD0339A"/>
    <w:rsid w:val="4BF07C1D"/>
    <w:rsid w:val="4BF32495"/>
    <w:rsid w:val="4BFA3FA2"/>
    <w:rsid w:val="4C1905D9"/>
    <w:rsid w:val="4C2910DF"/>
    <w:rsid w:val="4C2B4DDD"/>
    <w:rsid w:val="4C336177"/>
    <w:rsid w:val="4C471A55"/>
    <w:rsid w:val="4C562920"/>
    <w:rsid w:val="4C5D1F92"/>
    <w:rsid w:val="4C603F16"/>
    <w:rsid w:val="4C6262E0"/>
    <w:rsid w:val="4C6703A3"/>
    <w:rsid w:val="4C6D7518"/>
    <w:rsid w:val="4C766A5A"/>
    <w:rsid w:val="4C7C799E"/>
    <w:rsid w:val="4C923A72"/>
    <w:rsid w:val="4C952095"/>
    <w:rsid w:val="4CB531CC"/>
    <w:rsid w:val="4CB80C32"/>
    <w:rsid w:val="4CB96B0F"/>
    <w:rsid w:val="4CBD582C"/>
    <w:rsid w:val="4CC21369"/>
    <w:rsid w:val="4CDE0047"/>
    <w:rsid w:val="4CE34E9F"/>
    <w:rsid w:val="4CF52D94"/>
    <w:rsid w:val="4D075911"/>
    <w:rsid w:val="4D0C6B0F"/>
    <w:rsid w:val="4D231A3E"/>
    <w:rsid w:val="4D2822A5"/>
    <w:rsid w:val="4D4001E4"/>
    <w:rsid w:val="4D462159"/>
    <w:rsid w:val="4D47409F"/>
    <w:rsid w:val="4D525BE3"/>
    <w:rsid w:val="4D566017"/>
    <w:rsid w:val="4D6022FC"/>
    <w:rsid w:val="4D7D3EFB"/>
    <w:rsid w:val="4D883EF9"/>
    <w:rsid w:val="4D8B0123"/>
    <w:rsid w:val="4D955B8B"/>
    <w:rsid w:val="4DAF14C5"/>
    <w:rsid w:val="4DB9067A"/>
    <w:rsid w:val="4DC605B6"/>
    <w:rsid w:val="4DD732D2"/>
    <w:rsid w:val="4DEC0985"/>
    <w:rsid w:val="4E0538A3"/>
    <w:rsid w:val="4E0E6818"/>
    <w:rsid w:val="4E27683A"/>
    <w:rsid w:val="4E321D35"/>
    <w:rsid w:val="4E397241"/>
    <w:rsid w:val="4E3C1DE4"/>
    <w:rsid w:val="4E3F23F7"/>
    <w:rsid w:val="4E415C50"/>
    <w:rsid w:val="4E464E00"/>
    <w:rsid w:val="4E4C50A3"/>
    <w:rsid w:val="4E510698"/>
    <w:rsid w:val="4E576363"/>
    <w:rsid w:val="4E5D49B1"/>
    <w:rsid w:val="4E635567"/>
    <w:rsid w:val="4E674786"/>
    <w:rsid w:val="4E6D0F25"/>
    <w:rsid w:val="4E710F05"/>
    <w:rsid w:val="4E742982"/>
    <w:rsid w:val="4E7F1E8F"/>
    <w:rsid w:val="4E815763"/>
    <w:rsid w:val="4E862481"/>
    <w:rsid w:val="4E93511F"/>
    <w:rsid w:val="4E9C0636"/>
    <w:rsid w:val="4E9D29FB"/>
    <w:rsid w:val="4EA02E66"/>
    <w:rsid w:val="4EA30DB6"/>
    <w:rsid w:val="4EA7341F"/>
    <w:rsid w:val="4EB35A3D"/>
    <w:rsid w:val="4ECD2AFD"/>
    <w:rsid w:val="4EDB58B2"/>
    <w:rsid w:val="4EDF3CA9"/>
    <w:rsid w:val="4EE925CE"/>
    <w:rsid w:val="4EEB1A94"/>
    <w:rsid w:val="4EEF2E30"/>
    <w:rsid w:val="4EF24828"/>
    <w:rsid w:val="4EFE7F59"/>
    <w:rsid w:val="4EFF489F"/>
    <w:rsid w:val="4F285975"/>
    <w:rsid w:val="4F2A7BF3"/>
    <w:rsid w:val="4F2E2624"/>
    <w:rsid w:val="4F4D3728"/>
    <w:rsid w:val="4F4E1077"/>
    <w:rsid w:val="4F546156"/>
    <w:rsid w:val="4F844A99"/>
    <w:rsid w:val="4F94662C"/>
    <w:rsid w:val="4FAD0FF4"/>
    <w:rsid w:val="4FB00163"/>
    <w:rsid w:val="4FB208E7"/>
    <w:rsid w:val="4FE30332"/>
    <w:rsid w:val="4FE70BB4"/>
    <w:rsid w:val="4FE73C01"/>
    <w:rsid w:val="4FE76D51"/>
    <w:rsid w:val="4FE87C31"/>
    <w:rsid w:val="4FF03F98"/>
    <w:rsid w:val="4FF14DCF"/>
    <w:rsid w:val="5008113B"/>
    <w:rsid w:val="500815B6"/>
    <w:rsid w:val="500B39BC"/>
    <w:rsid w:val="500C204A"/>
    <w:rsid w:val="501502DD"/>
    <w:rsid w:val="502173F8"/>
    <w:rsid w:val="5022123F"/>
    <w:rsid w:val="502B7315"/>
    <w:rsid w:val="503E570B"/>
    <w:rsid w:val="503F32CF"/>
    <w:rsid w:val="503F62FD"/>
    <w:rsid w:val="5041152A"/>
    <w:rsid w:val="504C77D2"/>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EF5E63"/>
    <w:rsid w:val="50F31CB9"/>
    <w:rsid w:val="50F66F3D"/>
    <w:rsid w:val="50F8688B"/>
    <w:rsid w:val="50FC4E36"/>
    <w:rsid w:val="51002FFC"/>
    <w:rsid w:val="5105169B"/>
    <w:rsid w:val="51062881"/>
    <w:rsid w:val="510861B3"/>
    <w:rsid w:val="510956BD"/>
    <w:rsid w:val="511E2364"/>
    <w:rsid w:val="5121766A"/>
    <w:rsid w:val="51230220"/>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B24D9E"/>
    <w:rsid w:val="52B3363A"/>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8F27C5"/>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747829"/>
    <w:rsid w:val="54A139B1"/>
    <w:rsid w:val="54B06F11"/>
    <w:rsid w:val="54B56DF4"/>
    <w:rsid w:val="54B93943"/>
    <w:rsid w:val="54BE5578"/>
    <w:rsid w:val="54BF52B5"/>
    <w:rsid w:val="54D202CA"/>
    <w:rsid w:val="54D54E59"/>
    <w:rsid w:val="54DD41DB"/>
    <w:rsid w:val="54E72265"/>
    <w:rsid w:val="54ED3D78"/>
    <w:rsid w:val="54F52BA3"/>
    <w:rsid w:val="54F54E04"/>
    <w:rsid w:val="550B4121"/>
    <w:rsid w:val="550D5CFC"/>
    <w:rsid w:val="550F3357"/>
    <w:rsid w:val="55126CC5"/>
    <w:rsid w:val="55197997"/>
    <w:rsid w:val="551B7F0A"/>
    <w:rsid w:val="552A6B56"/>
    <w:rsid w:val="55314F13"/>
    <w:rsid w:val="5532385A"/>
    <w:rsid w:val="55381D42"/>
    <w:rsid w:val="55401B14"/>
    <w:rsid w:val="554748F2"/>
    <w:rsid w:val="554D414C"/>
    <w:rsid w:val="554E7279"/>
    <w:rsid w:val="55574522"/>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32642A"/>
    <w:rsid w:val="56375B61"/>
    <w:rsid w:val="564944F4"/>
    <w:rsid w:val="564E5820"/>
    <w:rsid w:val="565104C5"/>
    <w:rsid w:val="565F7B1A"/>
    <w:rsid w:val="56630C00"/>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5B61BE"/>
    <w:rsid w:val="576476C1"/>
    <w:rsid w:val="576E1940"/>
    <w:rsid w:val="57756BF9"/>
    <w:rsid w:val="57770501"/>
    <w:rsid w:val="577B3337"/>
    <w:rsid w:val="577D4F28"/>
    <w:rsid w:val="57A33734"/>
    <w:rsid w:val="57AB6ADD"/>
    <w:rsid w:val="57B7178E"/>
    <w:rsid w:val="57B76EED"/>
    <w:rsid w:val="57BD72A7"/>
    <w:rsid w:val="57BE5838"/>
    <w:rsid w:val="57BF764E"/>
    <w:rsid w:val="57C67CDB"/>
    <w:rsid w:val="57D82354"/>
    <w:rsid w:val="57E8600D"/>
    <w:rsid w:val="57FC07D9"/>
    <w:rsid w:val="57FF6992"/>
    <w:rsid w:val="580F1B21"/>
    <w:rsid w:val="581B7E79"/>
    <w:rsid w:val="58420FA1"/>
    <w:rsid w:val="58500F22"/>
    <w:rsid w:val="58587379"/>
    <w:rsid w:val="585D72B5"/>
    <w:rsid w:val="586D57A3"/>
    <w:rsid w:val="587917A0"/>
    <w:rsid w:val="587A4288"/>
    <w:rsid w:val="5880052B"/>
    <w:rsid w:val="588E3967"/>
    <w:rsid w:val="588F7B2A"/>
    <w:rsid w:val="58AD27D9"/>
    <w:rsid w:val="58B169A2"/>
    <w:rsid w:val="58B9636C"/>
    <w:rsid w:val="58C17C83"/>
    <w:rsid w:val="58C37133"/>
    <w:rsid w:val="58C93046"/>
    <w:rsid w:val="58D36BCB"/>
    <w:rsid w:val="58D8157C"/>
    <w:rsid w:val="58E11166"/>
    <w:rsid w:val="58E6349C"/>
    <w:rsid w:val="58EF63EE"/>
    <w:rsid w:val="590317F0"/>
    <w:rsid w:val="59075000"/>
    <w:rsid w:val="593559FD"/>
    <w:rsid w:val="594079B2"/>
    <w:rsid w:val="595B45EE"/>
    <w:rsid w:val="596A688E"/>
    <w:rsid w:val="5987482A"/>
    <w:rsid w:val="598A58C2"/>
    <w:rsid w:val="598C6F19"/>
    <w:rsid w:val="598E3144"/>
    <w:rsid w:val="599C49A8"/>
    <w:rsid w:val="59A36725"/>
    <w:rsid w:val="59B21BF9"/>
    <w:rsid w:val="59BB4EA3"/>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31C84"/>
    <w:rsid w:val="5ABC50F4"/>
    <w:rsid w:val="5ACC4940"/>
    <w:rsid w:val="5ACD3CD2"/>
    <w:rsid w:val="5AD86A6D"/>
    <w:rsid w:val="5AE8708E"/>
    <w:rsid w:val="5AEC14F6"/>
    <w:rsid w:val="5AF124A4"/>
    <w:rsid w:val="5B141085"/>
    <w:rsid w:val="5B28192B"/>
    <w:rsid w:val="5B342BAD"/>
    <w:rsid w:val="5B392581"/>
    <w:rsid w:val="5B4007EF"/>
    <w:rsid w:val="5B4D1F7C"/>
    <w:rsid w:val="5B51561D"/>
    <w:rsid w:val="5B570E24"/>
    <w:rsid w:val="5B66707B"/>
    <w:rsid w:val="5B673066"/>
    <w:rsid w:val="5B6A48A8"/>
    <w:rsid w:val="5B731FA9"/>
    <w:rsid w:val="5B785DDC"/>
    <w:rsid w:val="5B785E83"/>
    <w:rsid w:val="5B7A3749"/>
    <w:rsid w:val="5B7C0A70"/>
    <w:rsid w:val="5B7C1CD1"/>
    <w:rsid w:val="5B9004A9"/>
    <w:rsid w:val="5B907C6C"/>
    <w:rsid w:val="5B9251EF"/>
    <w:rsid w:val="5BAB5BC4"/>
    <w:rsid w:val="5BB20B74"/>
    <w:rsid w:val="5BC677D8"/>
    <w:rsid w:val="5BCC063C"/>
    <w:rsid w:val="5BD0669E"/>
    <w:rsid w:val="5BEB0120"/>
    <w:rsid w:val="5BEC175C"/>
    <w:rsid w:val="5BEF3E44"/>
    <w:rsid w:val="5BEF69FF"/>
    <w:rsid w:val="5C053E62"/>
    <w:rsid w:val="5C064BA0"/>
    <w:rsid w:val="5C07067E"/>
    <w:rsid w:val="5C075BB6"/>
    <w:rsid w:val="5C097C4E"/>
    <w:rsid w:val="5C196EE0"/>
    <w:rsid w:val="5C1A3A93"/>
    <w:rsid w:val="5C235386"/>
    <w:rsid w:val="5C2A4E9F"/>
    <w:rsid w:val="5C3B6CFC"/>
    <w:rsid w:val="5C4141EF"/>
    <w:rsid w:val="5C4C2CF4"/>
    <w:rsid w:val="5C6B1600"/>
    <w:rsid w:val="5C6E26BF"/>
    <w:rsid w:val="5C7D70D1"/>
    <w:rsid w:val="5C8542A8"/>
    <w:rsid w:val="5CA6294E"/>
    <w:rsid w:val="5CDB3358"/>
    <w:rsid w:val="5CE21EFB"/>
    <w:rsid w:val="5CED4E0C"/>
    <w:rsid w:val="5CEE1DD1"/>
    <w:rsid w:val="5CFF09AB"/>
    <w:rsid w:val="5D034EE9"/>
    <w:rsid w:val="5D0366E8"/>
    <w:rsid w:val="5D08684C"/>
    <w:rsid w:val="5D0A06B6"/>
    <w:rsid w:val="5D1307E8"/>
    <w:rsid w:val="5D212A05"/>
    <w:rsid w:val="5D28584C"/>
    <w:rsid w:val="5D2F4802"/>
    <w:rsid w:val="5D32239D"/>
    <w:rsid w:val="5D3444E6"/>
    <w:rsid w:val="5D3F0BDF"/>
    <w:rsid w:val="5D472CF9"/>
    <w:rsid w:val="5D5B7098"/>
    <w:rsid w:val="5D5D62C9"/>
    <w:rsid w:val="5D611B66"/>
    <w:rsid w:val="5D634782"/>
    <w:rsid w:val="5D654194"/>
    <w:rsid w:val="5D6E1B86"/>
    <w:rsid w:val="5D725A84"/>
    <w:rsid w:val="5D8533A8"/>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B2349"/>
    <w:rsid w:val="5DEC05A1"/>
    <w:rsid w:val="5DEE0433"/>
    <w:rsid w:val="5DFD51DB"/>
    <w:rsid w:val="5E0B0848"/>
    <w:rsid w:val="5E1D4A67"/>
    <w:rsid w:val="5E1F2E4C"/>
    <w:rsid w:val="5E237029"/>
    <w:rsid w:val="5E31278C"/>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A3D37"/>
    <w:rsid w:val="5EE153F8"/>
    <w:rsid w:val="5EED7893"/>
    <w:rsid w:val="5EF427A1"/>
    <w:rsid w:val="5EFB2125"/>
    <w:rsid w:val="5EFB6F0A"/>
    <w:rsid w:val="5F0A3A61"/>
    <w:rsid w:val="5F3370DF"/>
    <w:rsid w:val="5F683B6E"/>
    <w:rsid w:val="5F684490"/>
    <w:rsid w:val="5F6D06D6"/>
    <w:rsid w:val="5F875C0C"/>
    <w:rsid w:val="5F8A0701"/>
    <w:rsid w:val="5F8F0B9E"/>
    <w:rsid w:val="5F8F267A"/>
    <w:rsid w:val="5FAB7F08"/>
    <w:rsid w:val="5FB7185B"/>
    <w:rsid w:val="5FB94C48"/>
    <w:rsid w:val="5FDE327E"/>
    <w:rsid w:val="5FF37587"/>
    <w:rsid w:val="5FF85D1E"/>
    <w:rsid w:val="5FFE57B7"/>
    <w:rsid w:val="60060CD5"/>
    <w:rsid w:val="60085AA3"/>
    <w:rsid w:val="600C3076"/>
    <w:rsid w:val="600E362B"/>
    <w:rsid w:val="60183392"/>
    <w:rsid w:val="601A4CB1"/>
    <w:rsid w:val="601B56CB"/>
    <w:rsid w:val="602C236D"/>
    <w:rsid w:val="603114E4"/>
    <w:rsid w:val="603967D7"/>
    <w:rsid w:val="603D3325"/>
    <w:rsid w:val="604040A8"/>
    <w:rsid w:val="60470CE3"/>
    <w:rsid w:val="604D29BA"/>
    <w:rsid w:val="60637CA8"/>
    <w:rsid w:val="606711B4"/>
    <w:rsid w:val="60673C40"/>
    <w:rsid w:val="606A52D4"/>
    <w:rsid w:val="606C5678"/>
    <w:rsid w:val="607A0897"/>
    <w:rsid w:val="607C3753"/>
    <w:rsid w:val="607D30E1"/>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DA60CF"/>
    <w:rsid w:val="60E06DEB"/>
    <w:rsid w:val="60E51841"/>
    <w:rsid w:val="61110088"/>
    <w:rsid w:val="611647A0"/>
    <w:rsid w:val="61421EFD"/>
    <w:rsid w:val="614F6F7E"/>
    <w:rsid w:val="615C5041"/>
    <w:rsid w:val="61640524"/>
    <w:rsid w:val="617A6EE7"/>
    <w:rsid w:val="617B616B"/>
    <w:rsid w:val="6182260C"/>
    <w:rsid w:val="618E66E0"/>
    <w:rsid w:val="6190565E"/>
    <w:rsid w:val="61AA2608"/>
    <w:rsid w:val="61AD68BC"/>
    <w:rsid w:val="61AE786E"/>
    <w:rsid w:val="61B173D2"/>
    <w:rsid w:val="61BC4BE1"/>
    <w:rsid w:val="61D23591"/>
    <w:rsid w:val="61D43A2B"/>
    <w:rsid w:val="61E34474"/>
    <w:rsid w:val="61ED6D6A"/>
    <w:rsid w:val="61FF316E"/>
    <w:rsid w:val="621542CB"/>
    <w:rsid w:val="624263A2"/>
    <w:rsid w:val="624D491D"/>
    <w:rsid w:val="625272C3"/>
    <w:rsid w:val="6256557C"/>
    <w:rsid w:val="62715337"/>
    <w:rsid w:val="6280204D"/>
    <w:rsid w:val="6290769B"/>
    <w:rsid w:val="62943D08"/>
    <w:rsid w:val="629718F1"/>
    <w:rsid w:val="62A05735"/>
    <w:rsid w:val="62A411F8"/>
    <w:rsid w:val="62A81A26"/>
    <w:rsid w:val="62BA7A46"/>
    <w:rsid w:val="62C376AC"/>
    <w:rsid w:val="62CE13CB"/>
    <w:rsid w:val="62D2197B"/>
    <w:rsid w:val="62D33CE5"/>
    <w:rsid w:val="62DB028F"/>
    <w:rsid w:val="62EE4623"/>
    <w:rsid w:val="62F05600"/>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304E58"/>
    <w:rsid w:val="64311867"/>
    <w:rsid w:val="64391ED3"/>
    <w:rsid w:val="6445632E"/>
    <w:rsid w:val="64742B63"/>
    <w:rsid w:val="647E661E"/>
    <w:rsid w:val="64817182"/>
    <w:rsid w:val="648939AA"/>
    <w:rsid w:val="648C635C"/>
    <w:rsid w:val="648D29A1"/>
    <w:rsid w:val="649B1AC2"/>
    <w:rsid w:val="64A15011"/>
    <w:rsid w:val="64A7467B"/>
    <w:rsid w:val="64B53322"/>
    <w:rsid w:val="64C61AF8"/>
    <w:rsid w:val="64C86505"/>
    <w:rsid w:val="64F9385D"/>
    <w:rsid w:val="64FB4412"/>
    <w:rsid w:val="64FE700F"/>
    <w:rsid w:val="6500327F"/>
    <w:rsid w:val="6506609B"/>
    <w:rsid w:val="65083216"/>
    <w:rsid w:val="65460728"/>
    <w:rsid w:val="654835A8"/>
    <w:rsid w:val="65822810"/>
    <w:rsid w:val="65870C45"/>
    <w:rsid w:val="659705FF"/>
    <w:rsid w:val="65AA6346"/>
    <w:rsid w:val="65B01B69"/>
    <w:rsid w:val="65B56C47"/>
    <w:rsid w:val="65B7794D"/>
    <w:rsid w:val="65B8262E"/>
    <w:rsid w:val="65BC15EE"/>
    <w:rsid w:val="65D23D59"/>
    <w:rsid w:val="65D36F82"/>
    <w:rsid w:val="65D4773F"/>
    <w:rsid w:val="65DC5939"/>
    <w:rsid w:val="65DC7985"/>
    <w:rsid w:val="65F14641"/>
    <w:rsid w:val="65F5655C"/>
    <w:rsid w:val="65F64F18"/>
    <w:rsid w:val="66052F43"/>
    <w:rsid w:val="66065483"/>
    <w:rsid w:val="660659C0"/>
    <w:rsid w:val="6609487E"/>
    <w:rsid w:val="661A70C5"/>
    <w:rsid w:val="661D25CE"/>
    <w:rsid w:val="66206CF2"/>
    <w:rsid w:val="66265846"/>
    <w:rsid w:val="66287C9C"/>
    <w:rsid w:val="662E4097"/>
    <w:rsid w:val="664805B8"/>
    <w:rsid w:val="665572E9"/>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302DC3"/>
    <w:rsid w:val="67316C6B"/>
    <w:rsid w:val="674318B2"/>
    <w:rsid w:val="674D4B22"/>
    <w:rsid w:val="67570422"/>
    <w:rsid w:val="675D31B4"/>
    <w:rsid w:val="676971E8"/>
    <w:rsid w:val="676D2F4B"/>
    <w:rsid w:val="677A266A"/>
    <w:rsid w:val="677C1A81"/>
    <w:rsid w:val="677E7198"/>
    <w:rsid w:val="678A426A"/>
    <w:rsid w:val="678C2629"/>
    <w:rsid w:val="67914BE1"/>
    <w:rsid w:val="67A01F16"/>
    <w:rsid w:val="67A2026E"/>
    <w:rsid w:val="67AD0902"/>
    <w:rsid w:val="67B163D1"/>
    <w:rsid w:val="67DE0B68"/>
    <w:rsid w:val="67F45538"/>
    <w:rsid w:val="67F67092"/>
    <w:rsid w:val="68005932"/>
    <w:rsid w:val="680239EB"/>
    <w:rsid w:val="680722DA"/>
    <w:rsid w:val="68075891"/>
    <w:rsid w:val="68096B99"/>
    <w:rsid w:val="681C6C95"/>
    <w:rsid w:val="682211D1"/>
    <w:rsid w:val="685C6395"/>
    <w:rsid w:val="686318DD"/>
    <w:rsid w:val="68635145"/>
    <w:rsid w:val="687914A4"/>
    <w:rsid w:val="687F607E"/>
    <w:rsid w:val="6887281F"/>
    <w:rsid w:val="689565AD"/>
    <w:rsid w:val="689A41FB"/>
    <w:rsid w:val="689E57F0"/>
    <w:rsid w:val="68A34C5C"/>
    <w:rsid w:val="68CA6EAF"/>
    <w:rsid w:val="68D507C6"/>
    <w:rsid w:val="68E24981"/>
    <w:rsid w:val="68E62C62"/>
    <w:rsid w:val="68ED60A5"/>
    <w:rsid w:val="69123F86"/>
    <w:rsid w:val="691C1D81"/>
    <w:rsid w:val="691C3525"/>
    <w:rsid w:val="69216128"/>
    <w:rsid w:val="69280874"/>
    <w:rsid w:val="692E74C3"/>
    <w:rsid w:val="69307671"/>
    <w:rsid w:val="695D6B21"/>
    <w:rsid w:val="69611EE7"/>
    <w:rsid w:val="69621F5B"/>
    <w:rsid w:val="696C708E"/>
    <w:rsid w:val="696F4D5D"/>
    <w:rsid w:val="69850877"/>
    <w:rsid w:val="698C13C5"/>
    <w:rsid w:val="69EB1E1E"/>
    <w:rsid w:val="69F0745A"/>
    <w:rsid w:val="6A0D20F2"/>
    <w:rsid w:val="6A113556"/>
    <w:rsid w:val="6A1757B7"/>
    <w:rsid w:val="6A1D59EC"/>
    <w:rsid w:val="6A247F72"/>
    <w:rsid w:val="6A2B0BDF"/>
    <w:rsid w:val="6A3E2393"/>
    <w:rsid w:val="6A435B92"/>
    <w:rsid w:val="6A444DB8"/>
    <w:rsid w:val="6A4D4828"/>
    <w:rsid w:val="6A516AC3"/>
    <w:rsid w:val="6A5303BA"/>
    <w:rsid w:val="6A5B28ED"/>
    <w:rsid w:val="6A677080"/>
    <w:rsid w:val="6A711183"/>
    <w:rsid w:val="6A744616"/>
    <w:rsid w:val="6A7B4B9C"/>
    <w:rsid w:val="6A9C3931"/>
    <w:rsid w:val="6AAF014C"/>
    <w:rsid w:val="6AB0511F"/>
    <w:rsid w:val="6AC07690"/>
    <w:rsid w:val="6ACB082B"/>
    <w:rsid w:val="6AD3247E"/>
    <w:rsid w:val="6AE4699C"/>
    <w:rsid w:val="6AED1BE8"/>
    <w:rsid w:val="6AF00853"/>
    <w:rsid w:val="6AF317C6"/>
    <w:rsid w:val="6AFA4EDC"/>
    <w:rsid w:val="6B004C6B"/>
    <w:rsid w:val="6B09696B"/>
    <w:rsid w:val="6B1D4EBA"/>
    <w:rsid w:val="6B2B0EFD"/>
    <w:rsid w:val="6B2C13E4"/>
    <w:rsid w:val="6B2D2EEB"/>
    <w:rsid w:val="6B395FD2"/>
    <w:rsid w:val="6B410613"/>
    <w:rsid w:val="6B493E2C"/>
    <w:rsid w:val="6B4A661D"/>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6663C"/>
    <w:rsid w:val="6BA9194F"/>
    <w:rsid w:val="6BCA7437"/>
    <w:rsid w:val="6BD21D00"/>
    <w:rsid w:val="6BE727F5"/>
    <w:rsid w:val="6C001608"/>
    <w:rsid w:val="6C0858B3"/>
    <w:rsid w:val="6C132D21"/>
    <w:rsid w:val="6C240DF3"/>
    <w:rsid w:val="6C441C8D"/>
    <w:rsid w:val="6C45610F"/>
    <w:rsid w:val="6C4A6931"/>
    <w:rsid w:val="6C59472D"/>
    <w:rsid w:val="6C5A4564"/>
    <w:rsid w:val="6C603744"/>
    <w:rsid w:val="6C637CCF"/>
    <w:rsid w:val="6C7802EB"/>
    <w:rsid w:val="6C89456C"/>
    <w:rsid w:val="6C9143CB"/>
    <w:rsid w:val="6CA20D5B"/>
    <w:rsid w:val="6CAF7564"/>
    <w:rsid w:val="6CB71894"/>
    <w:rsid w:val="6CB91201"/>
    <w:rsid w:val="6CC13ACE"/>
    <w:rsid w:val="6CD63FB3"/>
    <w:rsid w:val="6CD73CDB"/>
    <w:rsid w:val="6CD91323"/>
    <w:rsid w:val="6CFE035F"/>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23708"/>
    <w:rsid w:val="6E920B5B"/>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8040F4"/>
    <w:rsid w:val="6F877B03"/>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E77E29"/>
    <w:rsid w:val="70FC2D1E"/>
    <w:rsid w:val="71015D6B"/>
    <w:rsid w:val="71067D7F"/>
    <w:rsid w:val="71115386"/>
    <w:rsid w:val="71126908"/>
    <w:rsid w:val="71151975"/>
    <w:rsid w:val="71172999"/>
    <w:rsid w:val="711D1189"/>
    <w:rsid w:val="712A5215"/>
    <w:rsid w:val="71336A65"/>
    <w:rsid w:val="713A6008"/>
    <w:rsid w:val="714B215B"/>
    <w:rsid w:val="714E2D72"/>
    <w:rsid w:val="71545B37"/>
    <w:rsid w:val="71570E43"/>
    <w:rsid w:val="71573E01"/>
    <w:rsid w:val="71702748"/>
    <w:rsid w:val="71867894"/>
    <w:rsid w:val="719E0160"/>
    <w:rsid w:val="719F7A78"/>
    <w:rsid w:val="71AD22C0"/>
    <w:rsid w:val="71B01F9E"/>
    <w:rsid w:val="71B41E80"/>
    <w:rsid w:val="71B623F6"/>
    <w:rsid w:val="71B84778"/>
    <w:rsid w:val="71C7540C"/>
    <w:rsid w:val="71F64A63"/>
    <w:rsid w:val="71F870B8"/>
    <w:rsid w:val="72021233"/>
    <w:rsid w:val="720B2A1D"/>
    <w:rsid w:val="72197AB8"/>
    <w:rsid w:val="72502F9F"/>
    <w:rsid w:val="7251515C"/>
    <w:rsid w:val="725817D3"/>
    <w:rsid w:val="726E6AD4"/>
    <w:rsid w:val="727C422C"/>
    <w:rsid w:val="7288329F"/>
    <w:rsid w:val="728E71EE"/>
    <w:rsid w:val="7292045A"/>
    <w:rsid w:val="72974DBE"/>
    <w:rsid w:val="72983FF8"/>
    <w:rsid w:val="72985E1E"/>
    <w:rsid w:val="72A20C20"/>
    <w:rsid w:val="72AC5E95"/>
    <w:rsid w:val="72C13ED7"/>
    <w:rsid w:val="72CF1AC7"/>
    <w:rsid w:val="72DC0F93"/>
    <w:rsid w:val="72E42AFA"/>
    <w:rsid w:val="72E85578"/>
    <w:rsid w:val="72EB4466"/>
    <w:rsid w:val="72FD426E"/>
    <w:rsid w:val="73043CFC"/>
    <w:rsid w:val="7317244F"/>
    <w:rsid w:val="732B736C"/>
    <w:rsid w:val="732C334F"/>
    <w:rsid w:val="734F0C79"/>
    <w:rsid w:val="734F4185"/>
    <w:rsid w:val="73520620"/>
    <w:rsid w:val="73536078"/>
    <w:rsid w:val="7363274A"/>
    <w:rsid w:val="73691A4A"/>
    <w:rsid w:val="7371152B"/>
    <w:rsid w:val="73777B4D"/>
    <w:rsid w:val="73823D86"/>
    <w:rsid w:val="738A6895"/>
    <w:rsid w:val="73917325"/>
    <w:rsid w:val="7395427D"/>
    <w:rsid w:val="73AE5485"/>
    <w:rsid w:val="73B1087F"/>
    <w:rsid w:val="73BC7089"/>
    <w:rsid w:val="73BE7067"/>
    <w:rsid w:val="73CC3E15"/>
    <w:rsid w:val="73E406FD"/>
    <w:rsid w:val="73E52294"/>
    <w:rsid w:val="73EC5464"/>
    <w:rsid w:val="73FF2D64"/>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5B1F31"/>
    <w:rsid w:val="74672BF8"/>
    <w:rsid w:val="746B732F"/>
    <w:rsid w:val="746E18CB"/>
    <w:rsid w:val="746F3904"/>
    <w:rsid w:val="748D52FA"/>
    <w:rsid w:val="74993216"/>
    <w:rsid w:val="74B44784"/>
    <w:rsid w:val="74B808BF"/>
    <w:rsid w:val="74C03187"/>
    <w:rsid w:val="74C313F5"/>
    <w:rsid w:val="74E427B4"/>
    <w:rsid w:val="74E4756E"/>
    <w:rsid w:val="74ED19FF"/>
    <w:rsid w:val="75084E8F"/>
    <w:rsid w:val="7509261E"/>
    <w:rsid w:val="75202656"/>
    <w:rsid w:val="752231CE"/>
    <w:rsid w:val="754723D0"/>
    <w:rsid w:val="756F29D2"/>
    <w:rsid w:val="75752B04"/>
    <w:rsid w:val="75761D7C"/>
    <w:rsid w:val="75874D16"/>
    <w:rsid w:val="758910BB"/>
    <w:rsid w:val="75920C70"/>
    <w:rsid w:val="75955DA9"/>
    <w:rsid w:val="759601E2"/>
    <w:rsid w:val="75977910"/>
    <w:rsid w:val="759F2A35"/>
    <w:rsid w:val="75B15C41"/>
    <w:rsid w:val="75CC5191"/>
    <w:rsid w:val="75CC694A"/>
    <w:rsid w:val="75D12923"/>
    <w:rsid w:val="75EA364B"/>
    <w:rsid w:val="75F20996"/>
    <w:rsid w:val="75F65644"/>
    <w:rsid w:val="75F96973"/>
    <w:rsid w:val="760A4340"/>
    <w:rsid w:val="76123E1D"/>
    <w:rsid w:val="761270F3"/>
    <w:rsid w:val="761724E5"/>
    <w:rsid w:val="762545DB"/>
    <w:rsid w:val="762A17C0"/>
    <w:rsid w:val="762E6798"/>
    <w:rsid w:val="763405BA"/>
    <w:rsid w:val="76425118"/>
    <w:rsid w:val="764838B9"/>
    <w:rsid w:val="764B15DA"/>
    <w:rsid w:val="764C09B4"/>
    <w:rsid w:val="764F5A52"/>
    <w:rsid w:val="766163C1"/>
    <w:rsid w:val="76665926"/>
    <w:rsid w:val="766A4A0D"/>
    <w:rsid w:val="768C454B"/>
    <w:rsid w:val="7692667A"/>
    <w:rsid w:val="76964CA1"/>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1A04D1"/>
    <w:rsid w:val="771B67DF"/>
    <w:rsid w:val="771E64D7"/>
    <w:rsid w:val="77272CAB"/>
    <w:rsid w:val="772C3D64"/>
    <w:rsid w:val="77451578"/>
    <w:rsid w:val="77576666"/>
    <w:rsid w:val="77636E18"/>
    <w:rsid w:val="77692EA3"/>
    <w:rsid w:val="77695538"/>
    <w:rsid w:val="7773758E"/>
    <w:rsid w:val="777B7DE5"/>
    <w:rsid w:val="77825248"/>
    <w:rsid w:val="7785098B"/>
    <w:rsid w:val="77870D91"/>
    <w:rsid w:val="778A3229"/>
    <w:rsid w:val="779258CC"/>
    <w:rsid w:val="7794068F"/>
    <w:rsid w:val="779A096B"/>
    <w:rsid w:val="779B52FF"/>
    <w:rsid w:val="779C011D"/>
    <w:rsid w:val="77A00E75"/>
    <w:rsid w:val="77A80D17"/>
    <w:rsid w:val="77B841F3"/>
    <w:rsid w:val="77C078B1"/>
    <w:rsid w:val="77CE7C36"/>
    <w:rsid w:val="77CF291E"/>
    <w:rsid w:val="77E66E3C"/>
    <w:rsid w:val="77E84D6F"/>
    <w:rsid w:val="77F3789A"/>
    <w:rsid w:val="77F71324"/>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C53485"/>
    <w:rsid w:val="78C6693F"/>
    <w:rsid w:val="78C76A01"/>
    <w:rsid w:val="78C9386A"/>
    <w:rsid w:val="78DA30DC"/>
    <w:rsid w:val="78EC45D8"/>
    <w:rsid w:val="78EC6DF0"/>
    <w:rsid w:val="78F02AF8"/>
    <w:rsid w:val="78F5335B"/>
    <w:rsid w:val="78F554EB"/>
    <w:rsid w:val="791843E7"/>
    <w:rsid w:val="79233426"/>
    <w:rsid w:val="79260F03"/>
    <w:rsid w:val="792E73F2"/>
    <w:rsid w:val="79395A92"/>
    <w:rsid w:val="794008FB"/>
    <w:rsid w:val="79412D41"/>
    <w:rsid w:val="794708D9"/>
    <w:rsid w:val="794B21A1"/>
    <w:rsid w:val="7964574A"/>
    <w:rsid w:val="79773C7E"/>
    <w:rsid w:val="79804706"/>
    <w:rsid w:val="79835FC2"/>
    <w:rsid w:val="79840597"/>
    <w:rsid w:val="79941CF2"/>
    <w:rsid w:val="79973382"/>
    <w:rsid w:val="79B4353E"/>
    <w:rsid w:val="79C07B43"/>
    <w:rsid w:val="79CD7CD9"/>
    <w:rsid w:val="79CE73E2"/>
    <w:rsid w:val="79D33056"/>
    <w:rsid w:val="79D715DF"/>
    <w:rsid w:val="79DD705A"/>
    <w:rsid w:val="79E16F93"/>
    <w:rsid w:val="79E701E5"/>
    <w:rsid w:val="79EC0256"/>
    <w:rsid w:val="79F60153"/>
    <w:rsid w:val="79FB6E2C"/>
    <w:rsid w:val="7A36322F"/>
    <w:rsid w:val="7A431242"/>
    <w:rsid w:val="7A444657"/>
    <w:rsid w:val="7A4C2D60"/>
    <w:rsid w:val="7A5E0869"/>
    <w:rsid w:val="7A6A4824"/>
    <w:rsid w:val="7A6E4BF5"/>
    <w:rsid w:val="7A7F4A1E"/>
    <w:rsid w:val="7A851D5D"/>
    <w:rsid w:val="7A8A2267"/>
    <w:rsid w:val="7AB53126"/>
    <w:rsid w:val="7AB76FE8"/>
    <w:rsid w:val="7AB8122B"/>
    <w:rsid w:val="7ACC526F"/>
    <w:rsid w:val="7AD268E2"/>
    <w:rsid w:val="7ADC0B33"/>
    <w:rsid w:val="7AE14C19"/>
    <w:rsid w:val="7AEA174E"/>
    <w:rsid w:val="7AF70711"/>
    <w:rsid w:val="7B274176"/>
    <w:rsid w:val="7B3057E4"/>
    <w:rsid w:val="7B306163"/>
    <w:rsid w:val="7B364C38"/>
    <w:rsid w:val="7B3E17AA"/>
    <w:rsid w:val="7B401C79"/>
    <w:rsid w:val="7B440ED6"/>
    <w:rsid w:val="7B4678D7"/>
    <w:rsid w:val="7B4B2A93"/>
    <w:rsid w:val="7B516F3E"/>
    <w:rsid w:val="7B527515"/>
    <w:rsid w:val="7B78553B"/>
    <w:rsid w:val="7B7A0708"/>
    <w:rsid w:val="7B890A24"/>
    <w:rsid w:val="7B8A4A8A"/>
    <w:rsid w:val="7BAA485C"/>
    <w:rsid w:val="7BAB6683"/>
    <w:rsid w:val="7BAD1591"/>
    <w:rsid w:val="7BCD64C2"/>
    <w:rsid w:val="7BD3716B"/>
    <w:rsid w:val="7BE97EE8"/>
    <w:rsid w:val="7BEC2711"/>
    <w:rsid w:val="7BF55850"/>
    <w:rsid w:val="7C1054B7"/>
    <w:rsid w:val="7C131E53"/>
    <w:rsid w:val="7C261982"/>
    <w:rsid w:val="7C26369C"/>
    <w:rsid w:val="7C2A465C"/>
    <w:rsid w:val="7C2E06D8"/>
    <w:rsid w:val="7C305879"/>
    <w:rsid w:val="7C34521A"/>
    <w:rsid w:val="7C4A2BD1"/>
    <w:rsid w:val="7C4C0053"/>
    <w:rsid w:val="7C576C70"/>
    <w:rsid w:val="7C6E4349"/>
    <w:rsid w:val="7C77043F"/>
    <w:rsid w:val="7C8A7CDC"/>
    <w:rsid w:val="7C9E5A24"/>
    <w:rsid w:val="7CA745A1"/>
    <w:rsid w:val="7CAF4DCB"/>
    <w:rsid w:val="7CB4006B"/>
    <w:rsid w:val="7CB93ABB"/>
    <w:rsid w:val="7CC475DB"/>
    <w:rsid w:val="7CDE3831"/>
    <w:rsid w:val="7CE656F0"/>
    <w:rsid w:val="7CED34FF"/>
    <w:rsid w:val="7CEE5458"/>
    <w:rsid w:val="7CEF0583"/>
    <w:rsid w:val="7CF26588"/>
    <w:rsid w:val="7CF565D7"/>
    <w:rsid w:val="7CFA3A46"/>
    <w:rsid w:val="7D0F5720"/>
    <w:rsid w:val="7D0F6865"/>
    <w:rsid w:val="7D24652E"/>
    <w:rsid w:val="7D2561FD"/>
    <w:rsid w:val="7D2E198F"/>
    <w:rsid w:val="7D3B3737"/>
    <w:rsid w:val="7D3D73AF"/>
    <w:rsid w:val="7D3F6E5D"/>
    <w:rsid w:val="7D514310"/>
    <w:rsid w:val="7D5B27C9"/>
    <w:rsid w:val="7D62117D"/>
    <w:rsid w:val="7D6B7F02"/>
    <w:rsid w:val="7D762C73"/>
    <w:rsid w:val="7D834A16"/>
    <w:rsid w:val="7D9D0A97"/>
    <w:rsid w:val="7D9D438F"/>
    <w:rsid w:val="7DA514D2"/>
    <w:rsid w:val="7DAE6BE3"/>
    <w:rsid w:val="7DC17980"/>
    <w:rsid w:val="7DCD1A27"/>
    <w:rsid w:val="7DCD4EB5"/>
    <w:rsid w:val="7DDF20BC"/>
    <w:rsid w:val="7DE07962"/>
    <w:rsid w:val="7DE34955"/>
    <w:rsid w:val="7DF30A54"/>
    <w:rsid w:val="7DF578F8"/>
    <w:rsid w:val="7DFF1E31"/>
    <w:rsid w:val="7E090313"/>
    <w:rsid w:val="7E3E0FEC"/>
    <w:rsid w:val="7E3E1EF2"/>
    <w:rsid w:val="7E566EA2"/>
    <w:rsid w:val="7E5B15D2"/>
    <w:rsid w:val="7E5B76B4"/>
    <w:rsid w:val="7E5C1ABA"/>
    <w:rsid w:val="7E5C4178"/>
    <w:rsid w:val="7E61281D"/>
    <w:rsid w:val="7E622778"/>
    <w:rsid w:val="7E756346"/>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22EBD"/>
    <w:rsid w:val="7F0B5962"/>
    <w:rsid w:val="7F0C1E9D"/>
    <w:rsid w:val="7F0C2035"/>
    <w:rsid w:val="7F0F0FAF"/>
    <w:rsid w:val="7F0F7992"/>
    <w:rsid w:val="7F1B0865"/>
    <w:rsid w:val="7F271AA3"/>
    <w:rsid w:val="7F354370"/>
    <w:rsid w:val="7F542B37"/>
    <w:rsid w:val="7F6A77AB"/>
    <w:rsid w:val="7F6B2248"/>
    <w:rsid w:val="7F772F4F"/>
    <w:rsid w:val="7F7D7A8E"/>
    <w:rsid w:val="7F872588"/>
    <w:rsid w:val="7F8725BA"/>
    <w:rsid w:val="7F8C6A8F"/>
    <w:rsid w:val="7F994DB5"/>
    <w:rsid w:val="7F9C175D"/>
    <w:rsid w:val="7F9F773D"/>
    <w:rsid w:val="7FA74583"/>
    <w:rsid w:val="7FA85877"/>
    <w:rsid w:val="7FAB3A81"/>
    <w:rsid w:val="7FB401DF"/>
    <w:rsid w:val="7FCB6843"/>
    <w:rsid w:val="7FDC4B16"/>
    <w:rsid w:val="7FDC52B9"/>
    <w:rsid w:val="7FE653BC"/>
    <w:rsid w:val="7FEA5C65"/>
    <w:rsid w:val="7FF61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40"/>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FollowedHyperlink"/>
    <w:basedOn w:val="24"/>
    <w:semiHidden/>
    <w:unhideWhenUsed/>
    <w:qFormat/>
    <w:uiPriority w:val="99"/>
    <w:rPr>
      <w:color w:val="35A1D4"/>
      <w:u w:val="single"/>
    </w:rPr>
  </w:style>
  <w:style w:type="character" w:styleId="27">
    <w:name w:val="Emphasis"/>
    <w:basedOn w:val="24"/>
    <w:qFormat/>
    <w:uiPriority w:val="20"/>
    <w:rPr>
      <w:i/>
    </w:rPr>
  </w:style>
  <w:style w:type="character" w:styleId="28">
    <w:name w:val="Hyperlink"/>
    <w:basedOn w:val="24"/>
    <w:qFormat/>
    <w:uiPriority w:val="99"/>
    <w:rPr>
      <w:color w:val="0000FF"/>
      <w:u w:val="single"/>
    </w:rPr>
  </w:style>
  <w:style w:type="character" w:styleId="29">
    <w:name w:val="annotation reference"/>
    <w:basedOn w:val="24"/>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4"/>
    <w:link w:val="13"/>
    <w:semiHidden/>
    <w:qFormat/>
    <w:uiPriority w:val="99"/>
    <w:rPr>
      <w:kern w:val="2"/>
      <w:sz w:val="18"/>
      <w:szCs w:val="18"/>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via2"/>
    <w:basedOn w:val="24"/>
    <w:qFormat/>
    <w:uiPriority w:val="0"/>
    <w:rPr>
      <w:color w:val="959595"/>
    </w:rPr>
  </w:style>
  <w:style w:type="character" w:customStyle="1" w:styleId="77">
    <w:name w:val="def2"/>
    <w:basedOn w:val="24"/>
    <w:qFormat/>
    <w:uiPriority w:val="0"/>
    <w:rPr>
      <w:color w:val="31313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2023-05-15T12:46:58Z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